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2C5" w:rsidRDefault="006202C5" w:rsidP="006202C5">
      <w:pPr>
        <w:ind w:left="720" w:hanging="900"/>
      </w:pPr>
      <w:bookmarkStart w:id="0" w:name="_Toc462079442"/>
      <w:bookmarkStart w:id="1" w:name="_Toc462132546"/>
      <w:r>
        <w:rPr>
          <w:noProof/>
        </w:rPr>
        <w:drawing>
          <wp:inline distT="0" distB="0" distL="0" distR="0" wp14:anchorId="7CB734A2" wp14:editId="15EC3F82">
            <wp:extent cx="6073140" cy="1099814"/>
            <wp:effectExtent l="0" t="0" r="3810" b="5715"/>
            <wp:docPr id="1" name="Picture 1" descr="antet ANCOM RO_color_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ANCOM RO_color_S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578" cy="1105869"/>
                    </a:xfrm>
                    <a:prstGeom prst="rect">
                      <a:avLst/>
                    </a:prstGeom>
                    <a:noFill/>
                    <a:ln>
                      <a:noFill/>
                    </a:ln>
                  </pic:spPr>
                </pic:pic>
              </a:graphicData>
            </a:graphic>
          </wp:inline>
        </w:drawing>
      </w:r>
    </w:p>
    <w:p w:rsidR="003A2E20" w:rsidRPr="003A2E20" w:rsidRDefault="003A2E20" w:rsidP="003A2E20">
      <w:pPr>
        <w:pStyle w:val="Heading2"/>
        <w:numPr>
          <w:ilvl w:val="0"/>
          <w:numId w:val="0"/>
        </w:numPr>
        <w:ind w:left="720"/>
        <w:rPr>
          <w:rFonts w:ascii="Tahoma" w:hAnsi="Tahoma" w:cs="Tahoma"/>
          <w:sz w:val="22"/>
          <w:szCs w:val="22"/>
        </w:rPr>
      </w:pPr>
      <w:r w:rsidRPr="003A2E20">
        <w:rPr>
          <w:rFonts w:ascii="Tahoma" w:hAnsi="Tahoma" w:cs="Tahoma"/>
          <w:sz w:val="22"/>
          <w:szCs w:val="22"/>
        </w:rPr>
        <w:t>Costul mediu ponderat al capitalului</w:t>
      </w:r>
    </w:p>
    <w:p w:rsidR="00C14508" w:rsidRPr="006E60EB" w:rsidRDefault="00C14508" w:rsidP="00C14508">
      <w:pPr>
        <w:pStyle w:val="Heading2"/>
        <w:numPr>
          <w:ilvl w:val="0"/>
          <w:numId w:val="2"/>
        </w:numPr>
        <w:rPr>
          <w:rFonts w:ascii="Tahoma" w:hAnsi="Tahoma" w:cs="Tahoma"/>
          <w:sz w:val="22"/>
          <w:szCs w:val="22"/>
        </w:rPr>
      </w:pPr>
      <w:r w:rsidRPr="006E60EB">
        <w:rPr>
          <w:rFonts w:ascii="Tahoma" w:hAnsi="Tahoma" w:cs="Tahoma"/>
          <w:sz w:val="22"/>
          <w:szCs w:val="22"/>
        </w:rPr>
        <w:t>Formula CMPC și ipotezele generale</w:t>
      </w:r>
      <w:bookmarkEnd w:id="0"/>
      <w:bookmarkEnd w:id="1"/>
    </w:p>
    <w:p w:rsidR="00C14508" w:rsidRPr="006E60EB" w:rsidRDefault="00C14508" w:rsidP="00C14508">
      <w:pPr>
        <w:pStyle w:val="BodyText"/>
        <w:rPr>
          <w:rFonts w:ascii="Tahoma" w:hAnsi="Tahoma" w:cs="Tahoma"/>
          <w:szCs w:val="22"/>
        </w:rPr>
      </w:pPr>
    </w:p>
    <w:p w:rsidR="00C14508" w:rsidRPr="006E60EB" w:rsidRDefault="00C14508" w:rsidP="00C14508">
      <w:pPr>
        <w:spacing w:before="120" w:after="120"/>
        <w:jc w:val="both"/>
        <w:rPr>
          <w:rFonts w:ascii="Tahoma" w:hAnsi="Tahoma" w:cs="Tahoma"/>
          <w:szCs w:val="22"/>
        </w:rPr>
      </w:pPr>
      <w:r w:rsidRPr="006E60EB">
        <w:rPr>
          <w:rFonts w:ascii="Tahoma" w:hAnsi="Tahoma" w:cs="Tahoma"/>
          <w:szCs w:val="22"/>
        </w:rPr>
        <w:t>Costul mediu ponderat al capitalului („CMPC”) se calculează cu formula:</w:t>
      </w:r>
    </w:p>
    <w:p w:rsidR="00C14508" w:rsidRPr="006E60EB" w:rsidRDefault="00C14508" w:rsidP="00C14508">
      <w:pPr>
        <w:spacing w:before="120" w:after="120"/>
        <w:jc w:val="both"/>
        <w:rPr>
          <w:rFonts w:ascii="Tahoma" w:hAnsi="Tahoma" w:cs="Tahoma"/>
          <w:szCs w:val="22"/>
        </w:rPr>
      </w:pPr>
      <m:oMathPara>
        <m:oMath>
          <m:r>
            <w:rPr>
              <w:rFonts w:ascii="Cambria Math" w:hAnsi="Cambria Math" w:cs="Tahoma"/>
              <w:szCs w:val="22"/>
            </w:rPr>
            <m:t>CMPC=</m:t>
          </m:r>
          <m:sSub>
            <m:sSubPr>
              <m:ctrlPr>
                <w:rPr>
                  <w:rFonts w:ascii="Cambria Math" w:hAnsi="Cambria Math" w:cs="Tahoma"/>
                  <w:i/>
                  <w:szCs w:val="22"/>
                </w:rPr>
              </m:ctrlPr>
            </m:sSubPr>
            <m:e>
              <m:r>
                <w:rPr>
                  <w:rFonts w:ascii="Cambria Math" w:hAnsi="Cambria Math" w:cs="Tahoma"/>
                  <w:szCs w:val="22"/>
                </w:rPr>
                <m:t>k</m:t>
              </m:r>
            </m:e>
            <m:sub>
              <m:r>
                <w:rPr>
                  <w:rFonts w:ascii="Cambria Math" w:hAnsi="Cambria Math" w:cs="Tahoma"/>
                  <w:szCs w:val="22"/>
                </w:rPr>
                <m:t>D</m:t>
              </m:r>
            </m:sub>
          </m:sSub>
          <m:r>
            <w:rPr>
              <w:rFonts w:ascii="Cambria Math" w:hAnsi="Cambria Math" w:cs="Tahoma"/>
              <w:szCs w:val="22"/>
            </w:rPr>
            <m:t>*G+</m:t>
          </m:r>
          <m:sSub>
            <m:sSubPr>
              <m:ctrlPr>
                <w:rPr>
                  <w:rFonts w:ascii="Cambria Math" w:hAnsi="Cambria Math" w:cs="Tahoma"/>
                  <w:i/>
                  <w:szCs w:val="22"/>
                </w:rPr>
              </m:ctrlPr>
            </m:sSubPr>
            <m:e>
              <m:r>
                <w:rPr>
                  <w:rFonts w:ascii="Cambria Math" w:hAnsi="Cambria Math" w:cs="Tahoma"/>
                  <w:szCs w:val="22"/>
                </w:rPr>
                <m:t>k</m:t>
              </m:r>
            </m:e>
            <m:sub>
              <m:r>
                <w:rPr>
                  <w:rFonts w:ascii="Cambria Math" w:hAnsi="Cambria Math" w:cs="Tahoma"/>
                  <w:szCs w:val="22"/>
                </w:rPr>
                <m:t>E</m:t>
              </m:r>
            </m:sub>
          </m:sSub>
          <m:r>
            <w:rPr>
              <w:rFonts w:ascii="Cambria Math" w:hAnsi="Cambria Math" w:cs="Tahoma"/>
              <w:szCs w:val="22"/>
            </w:rPr>
            <m:t>*</m:t>
          </m:r>
          <m:d>
            <m:dPr>
              <m:ctrlPr>
                <w:rPr>
                  <w:rFonts w:ascii="Cambria Math" w:hAnsi="Cambria Math" w:cs="Tahoma"/>
                  <w:i/>
                  <w:szCs w:val="22"/>
                </w:rPr>
              </m:ctrlPr>
            </m:dPr>
            <m:e>
              <m:r>
                <w:rPr>
                  <w:rFonts w:ascii="Cambria Math" w:hAnsi="Cambria Math" w:cs="Tahoma"/>
                  <w:szCs w:val="22"/>
                </w:rPr>
                <m:t>1-G</m:t>
              </m:r>
            </m:e>
          </m:d>
          <m:r>
            <w:rPr>
              <w:rFonts w:ascii="Cambria Math" w:hAnsi="Cambria Math" w:cs="Tahoma"/>
              <w:szCs w:val="22"/>
            </w:rPr>
            <m:t>*</m:t>
          </m:r>
          <m:f>
            <m:fPr>
              <m:ctrlPr>
                <w:rPr>
                  <w:rFonts w:ascii="Cambria Math" w:hAnsi="Cambria Math" w:cs="Tahoma"/>
                  <w:i/>
                  <w:szCs w:val="22"/>
                </w:rPr>
              </m:ctrlPr>
            </m:fPr>
            <m:num>
              <m:r>
                <w:rPr>
                  <w:rFonts w:ascii="Cambria Math" w:hAnsi="Cambria Math" w:cs="Tahoma"/>
                  <w:szCs w:val="22"/>
                </w:rPr>
                <m:t>1</m:t>
              </m:r>
            </m:num>
            <m:den>
              <m:r>
                <w:rPr>
                  <w:rFonts w:ascii="Cambria Math" w:hAnsi="Cambria Math" w:cs="Tahoma"/>
                  <w:szCs w:val="22"/>
                </w:rPr>
                <m:t>(1-t)</m:t>
              </m:r>
            </m:den>
          </m:f>
        </m:oMath>
      </m:oMathPara>
    </w:p>
    <w:p w:rsidR="00C14508" w:rsidRPr="006E60EB" w:rsidRDefault="00C14508" w:rsidP="00C14508">
      <w:pPr>
        <w:spacing w:before="120" w:after="120"/>
        <w:jc w:val="both"/>
        <w:rPr>
          <w:rFonts w:ascii="Tahoma" w:hAnsi="Tahoma" w:cs="Tahoma"/>
          <w:szCs w:val="22"/>
        </w:rPr>
      </w:pPr>
      <w:r w:rsidRPr="006E60EB">
        <w:rPr>
          <w:rFonts w:ascii="Tahoma" w:hAnsi="Tahoma" w:cs="Tahoma"/>
          <w:szCs w:val="22"/>
        </w:rPr>
        <w:t>unde:</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CMPC = costul mediu ponderat al capitalului înainte de impozitare</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k</w:t>
      </w:r>
      <w:r w:rsidRPr="006E60EB">
        <w:rPr>
          <w:rFonts w:ascii="Tahoma" w:hAnsi="Tahoma" w:cs="Tahoma"/>
          <w:szCs w:val="22"/>
          <w:vertAlign w:val="subscript"/>
        </w:rPr>
        <w:t>D</w:t>
      </w:r>
      <w:r w:rsidRPr="006E60EB">
        <w:rPr>
          <w:rFonts w:ascii="Tahoma" w:hAnsi="Tahoma" w:cs="Tahoma"/>
          <w:szCs w:val="22"/>
        </w:rPr>
        <w:t xml:space="preserve"> = costul datoriei purtătoare de dobânzi</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k</w:t>
      </w:r>
      <w:r w:rsidRPr="006E60EB">
        <w:rPr>
          <w:rFonts w:ascii="Tahoma" w:hAnsi="Tahoma" w:cs="Tahoma"/>
          <w:szCs w:val="22"/>
          <w:vertAlign w:val="subscript"/>
        </w:rPr>
        <w:t>E</w:t>
      </w:r>
      <w:r w:rsidRPr="006E60EB">
        <w:rPr>
          <w:rFonts w:ascii="Tahoma" w:hAnsi="Tahoma" w:cs="Tahoma"/>
          <w:szCs w:val="22"/>
        </w:rPr>
        <w:t xml:space="preserve"> = costul capitalurilor proprii</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 xml:space="preserve">G = gradul de îndatorare, calculat ca </w:t>
      </w:r>
      <m:oMath>
        <m:f>
          <m:fPr>
            <m:ctrlPr>
              <w:rPr>
                <w:rFonts w:ascii="Cambria Math" w:hAnsi="Cambria Math" w:cs="Tahoma"/>
                <w:i/>
                <w:szCs w:val="22"/>
              </w:rPr>
            </m:ctrlPr>
          </m:fPr>
          <m:num>
            <m:r>
              <w:rPr>
                <w:rFonts w:ascii="Cambria Math" w:hAnsi="Cambria Math" w:cs="Tahoma"/>
                <w:szCs w:val="22"/>
              </w:rPr>
              <m:t>D</m:t>
            </m:r>
          </m:num>
          <m:den>
            <m:r>
              <w:rPr>
                <w:rFonts w:ascii="Cambria Math" w:hAnsi="Cambria Math" w:cs="Tahoma"/>
                <w:szCs w:val="22"/>
              </w:rPr>
              <m:t>D+E</m:t>
            </m:r>
          </m:den>
        </m:f>
      </m:oMath>
      <w:r w:rsidRPr="006E60EB">
        <w:rPr>
          <w:rFonts w:ascii="Tahoma" w:hAnsi="Tahoma" w:cs="Tahoma"/>
          <w:szCs w:val="22"/>
        </w:rPr>
        <w:t xml:space="preserve"> ,</w:t>
      </w:r>
    </w:p>
    <w:p w:rsidR="00C14508" w:rsidRPr="006E60EB" w:rsidRDefault="00C14508" w:rsidP="00C14508">
      <w:pPr>
        <w:spacing w:before="120" w:after="120"/>
        <w:ind w:left="1440"/>
        <w:jc w:val="both"/>
        <w:rPr>
          <w:rFonts w:ascii="Tahoma" w:hAnsi="Tahoma" w:cs="Tahoma"/>
          <w:szCs w:val="22"/>
        </w:rPr>
      </w:pPr>
      <w:r w:rsidRPr="006E60EB">
        <w:rPr>
          <w:rFonts w:ascii="Tahoma" w:hAnsi="Tahoma" w:cs="Tahoma"/>
          <w:szCs w:val="22"/>
        </w:rPr>
        <w:t>unde D = ponderea datoriilor purtătoare de dobânzi în capitalul investit, iar E = ponderea capitalurilor proprii în capitalul investit (D + E= 100%)</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t = rata impozitului pe profit</w:t>
      </w:r>
    </w:p>
    <w:p w:rsidR="00C14508" w:rsidRPr="006E60EB" w:rsidRDefault="00C14508" w:rsidP="00C14508">
      <w:pPr>
        <w:spacing w:before="120" w:after="120"/>
        <w:jc w:val="both"/>
        <w:rPr>
          <w:rFonts w:ascii="Tahoma" w:hAnsi="Tahoma" w:cs="Tahoma"/>
          <w:szCs w:val="22"/>
        </w:rPr>
      </w:pPr>
      <w:r w:rsidRPr="006E60EB">
        <w:rPr>
          <w:rFonts w:ascii="Tahoma" w:hAnsi="Tahoma" w:cs="Tahoma"/>
          <w:szCs w:val="22"/>
        </w:rPr>
        <w:t>Costul capitalurilor proprii este determinat în mod uzual prin aplicarea modelului general CAPM („Capital Asset Pricing Model”), care utilizează formula:</w:t>
      </w:r>
    </w:p>
    <w:p w:rsidR="00C14508" w:rsidRPr="006E60EB" w:rsidRDefault="00000000" w:rsidP="00C14508">
      <w:pPr>
        <w:spacing w:before="120" w:after="120"/>
        <w:jc w:val="both"/>
        <w:rPr>
          <w:rFonts w:ascii="Tahoma" w:hAnsi="Tahoma" w:cs="Tahoma"/>
          <w:szCs w:val="22"/>
        </w:rPr>
      </w:pPr>
      <m:oMathPara>
        <m:oMath>
          <m:sSub>
            <m:sSubPr>
              <m:ctrlPr>
                <w:rPr>
                  <w:rFonts w:ascii="Cambria Math" w:hAnsi="Cambria Math" w:cs="Tahoma"/>
                  <w:i/>
                  <w:szCs w:val="22"/>
                </w:rPr>
              </m:ctrlPr>
            </m:sSubPr>
            <m:e>
              <m:r>
                <w:rPr>
                  <w:rFonts w:ascii="Cambria Math" w:hAnsi="Cambria Math" w:cs="Tahoma"/>
                  <w:szCs w:val="22"/>
                </w:rPr>
                <m:t>k</m:t>
              </m:r>
            </m:e>
            <m:sub>
              <m:r>
                <w:rPr>
                  <w:rFonts w:ascii="Cambria Math" w:hAnsi="Cambria Math" w:cs="Tahoma"/>
                  <w:szCs w:val="22"/>
                </w:rPr>
                <m:t>E</m:t>
              </m:r>
            </m:sub>
          </m:sSub>
          <m:r>
            <w:rPr>
              <w:rFonts w:ascii="Cambria Math" w:hAnsi="Cambria Math" w:cs="Tahoma"/>
              <w:szCs w:val="22"/>
            </w:rPr>
            <m:t>=</m:t>
          </m:r>
          <m:sSub>
            <m:sSubPr>
              <m:ctrlPr>
                <w:rPr>
                  <w:rFonts w:ascii="Cambria Math" w:hAnsi="Cambria Math" w:cs="Tahoma"/>
                  <w:i/>
                  <w:szCs w:val="22"/>
                </w:rPr>
              </m:ctrlPr>
            </m:sSubPr>
            <m:e>
              <m:r>
                <w:rPr>
                  <w:rFonts w:ascii="Cambria Math" w:hAnsi="Cambria Math" w:cs="Tahoma"/>
                  <w:szCs w:val="22"/>
                </w:rPr>
                <m:t>R</m:t>
              </m:r>
            </m:e>
            <m:sub>
              <m:r>
                <w:rPr>
                  <w:rFonts w:ascii="Cambria Math" w:hAnsi="Cambria Math" w:cs="Tahoma"/>
                  <w:szCs w:val="22"/>
                </w:rPr>
                <m:t>f</m:t>
              </m:r>
            </m:sub>
          </m:sSub>
          <m:r>
            <w:rPr>
              <w:rFonts w:ascii="Cambria Math" w:hAnsi="Cambria Math" w:cs="Tahoma"/>
              <w:szCs w:val="22"/>
            </w:rPr>
            <m:t>+β*ERP</m:t>
          </m:r>
        </m:oMath>
      </m:oMathPara>
    </w:p>
    <w:p w:rsidR="00C14508" w:rsidRPr="006E60EB" w:rsidRDefault="00C14508" w:rsidP="00C14508">
      <w:pPr>
        <w:spacing w:before="120" w:after="120"/>
        <w:jc w:val="both"/>
        <w:rPr>
          <w:rFonts w:ascii="Tahoma" w:hAnsi="Tahoma" w:cs="Tahoma"/>
          <w:szCs w:val="22"/>
        </w:rPr>
      </w:pPr>
      <w:r w:rsidRPr="006E60EB">
        <w:rPr>
          <w:rFonts w:ascii="Tahoma" w:hAnsi="Tahoma" w:cs="Tahoma"/>
          <w:szCs w:val="22"/>
        </w:rPr>
        <w:t>unde:</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R</w:t>
      </w:r>
      <w:r w:rsidRPr="006E60EB">
        <w:rPr>
          <w:rFonts w:ascii="Tahoma" w:hAnsi="Tahoma" w:cs="Tahoma"/>
          <w:szCs w:val="22"/>
          <w:vertAlign w:val="subscript"/>
        </w:rPr>
        <w:t>f</w:t>
      </w:r>
      <w:r w:rsidRPr="006E60EB">
        <w:rPr>
          <w:rFonts w:ascii="Tahoma" w:hAnsi="Tahoma" w:cs="Tahoma"/>
          <w:szCs w:val="22"/>
        </w:rPr>
        <w:t xml:space="preserve"> = rata dobânzii fără risc</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β = factorul Beta aferent capitalurilor proprii</w:t>
      </w:r>
    </w:p>
    <w:p w:rsidR="00C14508" w:rsidRPr="006E60EB" w:rsidRDefault="00195B12" w:rsidP="00C14508">
      <w:pPr>
        <w:spacing w:before="120" w:after="120"/>
        <w:ind w:left="720"/>
        <w:jc w:val="both"/>
        <w:rPr>
          <w:rFonts w:ascii="Tahoma" w:hAnsi="Tahoma" w:cs="Tahoma"/>
          <w:szCs w:val="22"/>
        </w:rPr>
      </w:pPr>
      <w:r w:rsidRPr="006E60EB">
        <w:rPr>
          <w:rFonts w:ascii="Tahoma" w:hAnsi="Tahoma" w:cs="Tahoma"/>
          <w:szCs w:val="22"/>
        </w:rPr>
        <w:t>ERP</w:t>
      </w:r>
      <w:r w:rsidR="00C14508" w:rsidRPr="006E60EB">
        <w:rPr>
          <w:rFonts w:ascii="Tahoma" w:hAnsi="Tahoma" w:cs="Tahoma"/>
          <w:szCs w:val="22"/>
        </w:rPr>
        <w:t xml:space="preserve"> = prima de risc a pieței de capital</w:t>
      </w:r>
      <w:r w:rsidR="003706D2" w:rsidRPr="006E60EB">
        <w:rPr>
          <w:rFonts w:ascii="Tahoma" w:hAnsi="Tahoma" w:cs="Tahoma"/>
          <w:szCs w:val="22"/>
        </w:rPr>
        <w:t xml:space="preserve"> (“</w:t>
      </w:r>
      <w:r w:rsidR="003A60B3" w:rsidRPr="006E60EB">
        <w:rPr>
          <w:rFonts w:ascii="Tahoma" w:hAnsi="Tahoma" w:cs="Tahoma"/>
          <w:szCs w:val="22"/>
        </w:rPr>
        <w:t>E</w:t>
      </w:r>
      <w:r w:rsidR="003706D2" w:rsidRPr="006E60EB">
        <w:rPr>
          <w:rFonts w:ascii="Tahoma" w:hAnsi="Tahoma" w:cs="Tahoma"/>
          <w:szCs w:val="22"/>
        </w:rPr>
        <w:t xml:space="preserve">quity </w:t>
      </w:r>
      <w:r w:rsidR="003A60B3" w:rsidRPr="006E60EB">
        <w:rPr>
          <w:rFonts w:ascii="Tahoma" w:hAnsi="Tahoma" w:cs="Tahoma"/>
          <w:szCs w:val="22"/>
        </w:rPr>
        <w:t>R</w:t>
      </w:r>
      <w:r w:rsidR="003706D2" w:rsidRPr="006E60EB">
        <w:rPr>
          <w:rFonts w:ascii="Tahoma" w:hAnsi="Tahoma" w:cs="Tahoma"/>
          <w:szCs w:val="22"/>
        </w:rPr>
        <w:t xml:space="preserve">isk </w:t>
      </w:r>
      <w:r w:rsidR="003A60B3" w:rsidRPr="006E60EB">
        <w:rPr>
          <w:rFonts w:ascii="Tahoma" w:hAnsi="Tahoma" w:cs="Tahoma"/>
          <w:szCs w:val="22"/>
        </w:rPr>
        <w:t>P</w:t>
      </w:r>
      <w:r w:rsidR="003706D2" w:rsidRPr="006E60EB">
        <w:rPr>
          <w:rFonts w:ascii="Tahoma" w:hAnsi="Tahoma" w:cs="Tahoma"/>
          <w:szCs w:val="22"/>
        </w:rPr>
        <w:t>remium”)</w:t>
      </w:r>
    </w:p>
    <w:p w:rsidR="00C14508" w:rsidRPr="006E60EB" w:rsidRDefault="00C14508" w:rsidP="00C14508">
      <w:pPr>
        <w:spacing w:before="120" w:after="120"/>
        <w:jc w:val="both"/>
        <w:rPr>
          <w:rFonts w:ascii="Tahoma" w:hAnsi="Tahoma" w:cs="Tahoma"/>
          <w:szCs w:val="22"/>
        </w:rPr>
      </w:pPr>
      <w:r w:rsidRPr="006E60EB">
        <w:rPr>
          <w:rFonts w:ascii="Tahoma" w:hAnsi="Tahoma" w:cs="Tahoma"/>
          <w:szCs w:val="22"/>
        </w:rPr>
        <w:t>Costul datoriei este determinat în mod uzual prin adăugarea la rata dobânzii fără risc a unei prime de risc asociate capitalului împrumutat:</w:t>
      </w:r>
    </w:p>
    <w:p w:rsidR="00C14508" w:rsidRPr="006E60EB" w:rsidRDefault="00000000" w:rsidP="00C14508">
      <w:pPr>
        <w:spacing w:before="120" w:after="120"/>
        <w:jc w:val="both"/>
        <w:rPr>
          <w:rFonts w:ascii="Tahoma" w:hAnsi="Tahoma" w:cs="Tahoma"/>
          <w:szCs w:val="22"/>
        </w:rPr>
      </w:pPr>
      <m:oMathPara>
        <m:oMath>
          <m:sSub>
            <m:sSubPr>
              <m:ctrlPr>
                <w:rPr>
                  <w:rFonts w:ascii="Cambria Math" w:hAnsi="Cambria Math" w:cs="Tahoma"/>
                  <w:i/>
                  <w:szCs w:val="22"/>
                </w:rPr>
              </m:ctrlPr>
            </m:sSubPr>
            <m:e>
              <m:r>
                <w:rPr>
                  <w:rFonts w:ascii="Cambria Math" w:hAnsi="Cambria Math" w:cs="Tahoma"/>
                  <w:szCs w:val="22"/>
                </w:rPr>
                <m:t>k</m:t>
              </m:r>
            </m:e>
            <m:sub>
              <m:r>
                <w:rPr>
                  <w:rFonts w:ascii="Cambria Math" w:hAnsi="Cambria Math" w:cs="Tahoma"/>
                  <w:szCs w:val="22"/>
                </w:rPr>
                <m:t>D</m:t>
              </m:r>
            </m:sub>
          </m:sSub>
          <m:r>
            <w:rPr>
              <w:rFonts w:ascii="Cambria Math" w:hAnsi="Cambria Math" w:cs="Tahoma"/>
              <w:szCs w:val="22"/>
            </w:rPr>
            <m:t>=</m:t>
          </m:r>
          <m:sSub>
            <m:sSubPr>
              <m:ctrlPr>
                <w:rPr>
                  <w:rFonts w:ascii="Cambria Math" w:hAnsi="Cambria Math" w:cs="Tahoma"/>
                  <w:i/>
                  <w:szCs w:val="22"/>
                </w:rPr>
              </m:ctrlPr>
            </m:sSubPr>
            <m:e>
              <m:r>
                <w:rPr>
                  <w:rFonts w:ascii="Cambria Math" w:hAnsi="Cambria Math" w:cs="Tahoma"/>
                  <w:szCs w:val="22"/>
                </w:rPr>
                <m:t>R</m:t>
              </m:r>
            </m:e>
            <m:sub>
              <m:r>
                <w:rPr>
                  <w:rFonts w:ascii="Cambria Math" w:hAnsi="Cambria Math" w:cs="Tahoma"/>
                  <w:szCs w:val="22"/>
                </w:rPr>
                <m:t>f</m:t>
              </m:r>
            </m:sub>
          </m:sSub>
          <m:r>
            <w:rPr>
              <w:rFonts w:ascii="Cambria Math" w:hAnsi="Cambria Math" w:cs="Tahoma"/>
              <w:szCs w:val="22"/>
            </w:rPr>
            <m:t>+DM</m:t>
          </m:r>
        </m:oMath>
      </m:oMathPara>
    </w:p>
    <w:p w:rsidR="00C14508" w:rsidRPr="006E60EB" w:rsidRDefault="00C14508" w:rsidP="00C14508">
      <w:pPr>
        <w:spacing w:before="120" w:after="120"/>
        <w:jc w:val="both"/>
        <w:rPr>
          <w:rFonts w:ascii="Tahoma" w:hAnsi="Tahoma" w:cs="Tahoma"/>
          <w:szCs w:val="22"/>
        </w:rPr>
      </w:pPr>
      <w:r w:rsidRPr="006E60EB">
        <w:rPr>
          <w:rFonts w:ascii="Tahoma" w:hAnsi="Tahoma" w:cs="Tahoma"/>
          <w:szCs w:val="22"/>
        </w:rPr>
        <w:t>unde:</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R</w:t>
      </w:r>
      <w:r w:rsidRPr="006E60EB">
        <w:rPr>
          <w:rFonts w:ascii="Tahoma" w:hAnsi="Tahoma" w:cs="Tahoma"/>
          <w:szCs w:val="22"/>
          <w:vertAlign w:val="subscript"/>
        </w:rPr>
        <w:t>f</w:t>
      </w:r>
      <w:r w:rsidRPr="006E60EB">
        <w:rPr>
          <w:rFonts w:ascii="Tahoma" w:hAnsi="Tahoma" w:cs="Tahoma"/>
          <w:szCs w:val="22"/>
        </w:rPr>
        <w:t xml:space="preserve"> = rata fără risc</w:t>
      </w:r>
    </w:p>
    <w:p w:rsidR="00C14508" w:rsidRPr="006E60EB" w:rsidRDefault="00C14508" w:rsidP="00C14508">
      <w:pPr>
        <w:spacing w:before="120" w:after="120"/>
        <w:ind w:left="720"/>
        <w:jc w:val="both"/>
        <w:rPr>
          <w:rFonts w:ascii="Tahoma" w:hAnsi="Tahoma" w:cs="Tahoma"/>
          <w:szCs w:val="22"/>
        </w:rPr>
      </w:pPr>
      <w:r w:rsidRPr="006E60EB">
        <w:rPr>
          <w:rFonts w:ascii="Tahoma" w:hAnsi="Tahoma" w:cs="Tahoma"/>
          <w:szCs w:val="22"/>
        </w:rPr>
        <w:t>DM = prima de risc asociate capitalului împrumutat</w:t>
      </w:r>
    </w:p>
    <w:p w:rsidR="00C14508" w:rsidRPr="006E60EB" w:rsidRDefault="00C14508" w:rsidP="00FA2A15">
      <w:pPr>
        <w:spacing w:before="120" w:after="120"/>
        <w:jc w:val="both"/>
        <w:rPr>
          <w:rFonts w:ascii="Tahoma" w:hAnsi="Tahoma" w:cs="Tahoma"/>
          <w:szCs w:val="22"/>
        </w:rPr>
      </w:pPr>
      <w:r w:rsidRPr="006E60EB">
        <w:rPr>
          <w:rFonts w:ascii="Tahoma" w:hAnsi="Tahoma" w:cs="Tahoma"/>
          <w:szCs w:val="22"/>
        </w:rPr>
        <w:t>Metodologia de estimare a parametrilor care determină CMPC este prezentată în secțiunile următoare.</w:t>
      </w:r>
    </w:p>
    <w:p w:rsidR="00C14508" w:rsidRPr="006E60EB" w:rsidRDefault="00C14508" w:rsidP="00C14508">
      <w:pPr>
        <w:pStyle w:val="Heading2"/>
        <w:ind w:firstLine="0"/>
        <w:rPr>
          <w:rFonts w:ascii="Tahoma" w:hAnsi="Tahoma" w:cs="Tahoma"/>
          <w:color w:val="auto"/>
          <w:sz w:val="22"/>
          <w:szCs w:val="22"/>
        </w:rPr>
      </w:pPr>
      <w:bookmarkStart w:id="2" w:name="_Toc462079451"/>
      <w:bookmarkStart w:id="3" w:name="_Toc462132555"/>
      <w:r w:rsidRPr="006E60EB">
        <w:rPr>
          <w:rFonts w:ascii="Tahoma" w:hAnsi="Tahoma" w:cs="Tahoma"/>
          <w:color w:val="auto"/>
          <w:sz w:val="22"/>
          <w:szCs w:val="22"/>
        </w:rPr>
        <w:t>Rata fără risc</w:t>
      </w:r>
      <w:bookmarkEnd w:id="2"/>
      <w:bookmarkEnd w:id="3"/>
      <w:r w:rsidR="00CB4F97" w:rsidRPr="006E60EB">
        <w:rPr>
          <w:rFonts w:ascii="Tahoma" w:hAnsi="Tahoma" w:cs="Tahoma"/>
          <w:color w:val="auto"/>
          <w:sz w:val="22"/>
          <w:szCs w:val="22"/>
        </w:rPr>
        <w:t xml:space="preserve"> </w:t>
      </w:r>
    </w:p>
    <w:p w:rsidR="00C14508" w:rsidRPr="006E60EB" w:rsidRDefault="00C14508" w:rsidP="00CB4F97">
      <w:pPr>
        <w:spacing w:before="120" w:after="120"/>
        <w:ind w:firstLine="720"/>
        <w:jc w:val="both"/>
        <w:rPr>
          <w:rFonts w:ascii="Tahoma" w:hAnsi="Tahoma" w:cs="Tahoma"/>
          <w:szCs w:val="22"/>
        </w:rPr>
      </w:pPr>
      <w:r w:rsidRPr="006E60EB">
        <w:rPr>
          <w:rFonts w:ascii="Tahoma" w:hAnsi="Tahoma" w:cs="Tahoma"/>
          <w:szCs w:val="22"/>
        </w:rPr>
        <w:t>Rata fără risc este un parametru al CAPM care reprezintă rata de rentabilitate pe care un investitor ar considera-o în absența riscului de insolvență (default). Teoretic, rata fără risc ar trebui să compenseze investitorii pentru valoarea în timp a banilor și pentru inflație. În mod uzual, rata fără risc este rata de rentabilitate a activelor monetare fără risc cu scadențe sau durate similare perioadei pentru care sunt estimate fluxurile de numerar relevante unei anumite analize.</w:t>
      </w:r>
    </w:p>
    <w:p w:rsidR="00C14508" w:rsidRPr="006E60EB" w:rsidRDefault="00C14508" w:rsidP="00CB4F97">
      <w:pPr>
        <w:spacing w:before="120" w:after="120"/>
        <w:ind w:firstLine="720"/>
        <w:jc w:val="both"/>
        <w:rPr>
          <w:rFonts w:ascii="Tahoma" w:hAnsi="Tahoma" w:cs="Tahoma"/>
          <w:szCs w:val="22"/>
        </w:rPr>
      </w:pPr>
      <w:r w:rsidRPr="006E60EB">
        <w:rPr>
          <w:rFonts w:ascii="Tahoma" w:hAnsi="Tahoma" w:cs="Tahoma"/>
          <w:szCs w:val="22"/>
        </w:rPr>
        <w:t xml:space="preserve">O abordare posibilă pentru determinarea ratei fără risc o constituie analiza obligațiunilor emise de guvernul statului în care operează </w:t>
      </w:r>
      <w:r w:rsidR="00F47E82" w:rsidRPr="006E60EB">
        <w:rPr>
          <w:rFonts w:ascii="Tahoma" w:hAnsi="Tahoma" w:cs="Tahoma"/>
          <w:szCs w:val="22"/>
        </w:rPr>
        <w:t>companiile</w:t>
      </w:r>
      <w:r w:rsidR="00766F96" w:rsidRPr="006E60EB">
        <w:rPr>
          <w:rFonts w:ascii="Tahoma" w:hAnsi="Tahoma" w:cs="Tahoma"/>
          <w:szCs w:val="22"/>
        </w:rPr>
        <w:t xml:space="preserve"> supuse reglementării</w:t>
      </w:r>
      <w:r w:rsidRPr="006E60EB">
        <w:rPr>
          <w:rFonts w:ascii="Tahoma" w:hAnsi="Tahoma" w:cs="Tahoma"/>
          <w:szCs w:val="22"/>
        </w:rPr>
        <w:t xml:space="preserve">. În cazul obligațiunilor emise de guvernul român se constată că, deși există obligațiuni guvernamentale pe termen lung, acestea au un volum relativ redus în comparație cu obligațiunile guvernamentale emise de state cu rating AAA, iar tranzacționarea lor se face cu frecvențe relativ reduse, ceea ce poate introduce distorsiuni legate de circumstanțe temporare ale pieței. Din acest motiv, este preferabil ca analiza ratei fără risc să pornească de la obligațiuni guvernamentale cu rating AAA. Analiza ratei fără risc ia în considerare și obligațiunile guvernamentale românești, prin intermediul primei de risc de țară (diferențialul între randamentele obligațiunilor </w:t>
      </w:r>
      <w:r w:rsidR="006824F0">
        <w:rPr>
          <w:rFonts w:ascii="Tahoma" w:hAnsi="Tahoma" w:cs="Tahoma"/>
          <w:szCs w:val="22"/>
        </w:rPr>
        <w:t xml:space="preserve">guvernamentale </w:t>
      </w:r>
      <w:r w:rsidRPr="006E60EB">
        <w:rPr>
          <w:rFonts w:ascii="Tahoma" w:hAnsi="Tahoma" w:cs="Tahoma"/>
          <w:szCs w:val="22"/>
        </w:rPr>
        <w:t xml:space="preserve">emise de România și cele emise de </w:t>
      </w:r>
      <w:r w:rsidR="00DE3E9B">
        <w:rPr>
          <w:rFonts w:ascii="Tahoma" w:hAnsi="Tahoma" w:cs="Tahoma"/>
          <w:szCs w:val="22"/>
        </w:rPr>
        <w:t>statele cu rating AAA</w:t>
      </w:r>
      <w:r w:rsidR="00DE3E9B" w:rsidRPr="006E60EB">
        <w:rPr>
          <w:rFonts w:ascii="Tahoma" w:hAnsi="Tahoma" w:cs="Tahoma"/>
          <w:szCs w:val="22"/>
        </w:rPr>
        <w:t xml:space="preserve"> </w:t>
      </w:r>
      <w:r w:rsidRPr="006E60EB">
        <w:rPr>
          <w:rFonts w:ascii="Tahoma" w:hAnsi="Tahoma" w:cs="Tahoma"/>
          <w:szCs w:val="22"/>
        </w:rPr>
        <w:t>cu maturități similare). Această abordare conduce</w:t>
      </w:r>
      <w:r w:rsidR="00F61C1E">
        <w:rPr>
          <w:rFonts w:ascii="Tahoma" w:hAnsi="Tahoma" w:cs="Tahoma"/>
          <w:szCs w:val="22"/>
        </w:rPr>
        <w:t>,</w:t>
      </w:r>
      <w:r w:rsidRPr="006E60EB">
        <w:rPr>
          <w:rFonts w:ascii="Tahoma" w:hAnsi="Tahoma" w:cs="Tahoma"/>
          <w:szCs w:val="22"/>
        </w:rPr>
        <w:t xml:space="preserve"> în general</w:t>
      </w:r>
      <w:r w:rsidR="00F61C1E">
        <w:rPr>
          <w:rFonts w:ascii="Tahoma" w:hAnsi="Tahoma" w:cs="Tahoma"/>
          <w:szCs w:val="22"/>
        </w:rPr>
        <w:t>,</w:t>
      </w:r>
      <w:r w:rsidRPr="006E60EB">
        <w:rPr>
          <w:rFonts w:ascii="Tahoma" w:hAnsi="Tahoma" w:cs="Tahoma"/>
          <w:szCs w:val="22"/>
        </w:rPr>
        <w:t xml:space="preserve"> la o estimare a primei de risc de țară cu o mai bună stabilitate în timp decât cea a primei de risc de țară indicată de randamentul la scadență al obligațiunilor românești cu scadență de 10 ani.</w:t>
      </w:r>
    </w:p>
    <w:p w:rsidR="00C14508" w:rsidRPr="00E158CB" w:rsidRDefault="00C14508" w:rsidP="00854C8A">
      <w:pPr>
        <w:spacing w:before="120" w:after="120"/>
        <w:ind w:firstLine="720"/>
        <w:jc w:val="both"/>
        <w:rPr>
          <w:rFonts w:ascii="Tahoma" w:hAnsi="Tahoma" w:cs="Tahoma"/>
          <w:szCs w:val="22"/>
        </w:rPr>
      </w:pPr>
      <w:r w:rsidRPr="006E60EB">
        <w:rPr>
          <w:rFonts w:ascii="Tahoma" w:hAnsi="Tahoma" w:cs="Tahoma"/>
          <w:szCs w:val="22"/>
        </w:rPr>
        <w:t xml:space="preserve">Pentru scopuri practice, se pornește în mod uzual de la randamentele observate pentru obligațiunile guvernamentale cu rating AAA. </w:t>
      </w:r>
      <w:r w:rsidR="00B50431">
        <w:rPr>
          <w:rFonts w:ascii="Tahoma" w:hAnsi="Tahoma" w:cs="Tahoma"/>
          <w:szCs w:val="22"/>
        </w:rPr>
        <w:t>În prezent, statele membre UE care au rating AAA sunt</w:t>
      </w:r>
      <w:r w:rsidR="00B50431" w:rsidRPr="00071B97">
        <w:rPr>
          <w:rFonts w:ascii="Tahoma" w:hAnsi="Tahoma" w:cs="Tahoma"/>
          <w:szCs w:val="22"/>
          <w:lang w:val="it-CH"/>
        </w:rPr>
        <w:t xml:space="preserve">: </w:t>
      </w:r>
      <w:r w:rsidR="00B50431" w:rsidRPr="00E158CB">
        <w:rPr>
          <w:rFonts w:ascii="Tahoma" w:hAnsi="Tahoma" w:cs="Tahoma"/>
          <w:szCs w:val="22"/>
        </w:rPr>
        <w:t xml:space="preserve">Danemarca, Finlanda, Germania, Luxemburg, </w:t>
      </w:r>
      <w:r w:rsidR="00557458">
        <w:rPr>
          <w:rFonts w:ascii="Tahoma" w:hAnsi="Tahoma" w:cs="Tahoma"/>
          <w:szCs w:val="22"/>
        </w:rPr>
        <w:t xml:space="preserve">Suedia, </w:t>
      </w:r>
      <w:r w:rsidR="00B50431" w:rsidRPr="00E158CB">
        <w:rPr>
          <w:rFonts w:ascii="Tahoma" w:hAnsi="Tahoma" w:cs="Tahoma"/>
          <w:szCs w:val="22"/>
        </w:rPr>
        <w:t>Olanda</w:t>
      </w:r>
      <w:r w:rsidR="00E158CB">
        <w:rPr>
          <w:rFonts w:ascii="Tahoma" w:hAnsi="Tahoma" w:cs="Tahoma"/>
          <w:szCs w:val="22"/>
        </w:rPr>
        <w:t>.</w:t>
      </w:r>
    </w:p>
    <w:p w:rsidR="00C14508" w:rsidRPr="006E60EB" w:rsidRDefault="00C14508" w:rsidP="00854C8A">
      <w:pPr>
        <w:spacing w:before="120" w:after="120"/>
        <w:ind w:firstLine="720"/>
        <w:jc w:val="both"/>
        <w:rPr>
          <w:rFonts w:ascii="Tahoma" w:hAnsi="Tahoma" w:cs="Tahoma"/>
          <w:szCs w:val="22"/>
        </w:rPr>
      </w:pPr>
      <w:r w:rsidRPr="006E60EB">
        <w:rPr>
          <w:rFonts w:ascii="Tahoma" w:hAnsi="Tahoma" w:cs="Tahoma"/>
          <w:szCs w:val="22"/>
        </w:rPr>
        <w:t xml:space="preserve">Pe baza </w:t>
      </w:r>
      <w:r w:rsidR="00766F96" w:rsidRPr="006E60EB">
        <w:rPr>
          <w:rFonts w:ascii="Tahoma" w:hAnsi="Tahoma" w:cs="Tahoma"/>
          <w:szCs w:val="22"/>
        </w:rPr>
        <w:t>informațiillor publice</w:t>
      </w:r>
      <w:r w:rsidR="00827800" w:rsidRPr="006E60EB">
        <w:rPr>
          <w:rStyle w:val="FootnoteReference"/>
          <w:rFonts w:ascii="Tahoma" w:hAnsi="Tahoma" w:cs="Tahoma"/>
          <w:szCs w:val="22"/>
        </w:rPr>
        <w:footnoteReference w:id="1"/>
      </w:r>
      <w:r w:rsidR="00766F96" w:rsidRPr="006E60EB">
        <w:rPr>
          <w:rFonts w:ascii="Tahoma" w:hAnsi="Tahoma" w:cs="Tahoma"/>
          <w:szCs w:val="22"/>
        </w:rPr>
        <w:t xml:space="preserve"> privind randamentele </w:t>
      </w:r>
      <w:r w:rsidR="007E6D95" w:rsidRPr="006E60EB">
        <w:rPr>
          <w:rFonts w:ascii="Tahoma" w:hAnsi="Tahoma" w:cs="Tahoma"/>
          <w:szCs w:val="22"/>
        </w:rPr>
        <w:t>cu</w:t>
      </w:r>
      <w:r w:rsidRPr="006E60EB">
        <w:rPr>
          <w:rFonts w:ascii="Tahoma" w:hAnsi="Tahoma" w:cs="Tahoma"/>
          <w:szCs w:val="22"/>
        </w:rPr>
        <w:t xml:space="preserve"> maturitate </w:t>
      </w:r>
      <w:r w:rsidR="007E6D95" w:rsidRPr="006E60EB">
        <w:rPr>
          <w:rFonts w:ascii="Tahoma" w:hAnsi="Tahoma" w:cs="Tahoma"/>
          <w:szCs w:val="22"/>
        </w:rPr>
        <w:t xml:space="preserve">10 ani </w:t>
      </w:r>
      <w:r w:rsidRPr="006E60EB">
        <w:rPr>
          <w:rFonts w:ascii="Tahoma" w:hAnsi="Tahoma" w:cs="Tahoma"/>
          <w:szCs w:val="22"/>
        </w:rPr>
        <w:t>ale obligațiunilor emise de Germania</w:t>
      </w:r>
      <w:r w:rsidR="0090374E">
        <w:rPr>
          <w:rFonts w:ascii="Tahoma" w:hAnsi="Tahoma" w:cs="Tahoma"/>
          <w:szCs w:val="22"/>
        </w:rPr>
        <w:t xml:space="preserve">, </w:t>
      </w:r>
      <w:r w:rsidR="0093150D">
        <w:rPr>
          <w:rFonts w:ascii="Tahoma" w:hAnsi="Tahoma" w:cs="Tahoma"/>
          <w:szCs w:val="22"/>
        </w:rPr>
        <w:t xml:space="preserve">Suedia, </w:t>
      </w:r>
      <w:r w:rsidR="00557458">
        <w:rPr>
          <w:rFonts w:ascii="Tahoma" w:hAnsi="Tahoma" w:cs="Tahoma"/>
          <w:szCs w:val="22"/>
        </w:rPr>
        <w:t>D</w:t>
      </w:r>
      <w:r w:rsidR="0090374E">
        <w:rPr>
          <w:rFonts w:ascii="Tahoma" w:hAnsi="Tahoma" w:cs="Tahoma"/>
          <w:szCs w:val="22"/>
        </w:rPr>
        <w:t>anemarca</w:t>
      </w:r>
      <w:r w:rsidR="00613905">
        <w:rPr>
          <w:rFonts w:ascii="Tahoma" w:hAnsi="Tahoma" w:cs="Tahoma"/>
          <w:szCs w:val="22"/>
        </w:rPr>
        <w:t xml:space="preserve"> </w:t>
      </w:r>
      <w:r w:rsidR="00B97227">
        <w:rPr>
          <w:rFonts w:ascii="Tahoma" w:hAnsi="Tahoma" w:cs="Tahoma"/>
          <w:szCs w:val="22"/>
        </w:rPr>
        <w:t>și Olanda</w:t>
      </w:r>
      <w:r w:rsidRPr="006E60EB">
        <w:rPr>
          <w:rFonts w:ascii="Tahoma" w:hAnsi="Tahoma" w:cs="Tahoma"/>
          <w:szCs w:val="22"/>
        </w:rPr>
        <w:t xml:space="preserve"> </w:t>
      </w:r>
      <w:r w:rsidR="00A953E1">
        <w:rPr>
          <w:rFonts w:ascii="Tahoma" w:hAnsi="Tahoma" w:cs="Tahoma"/>
          <w:szCs w:val="22"/>
        </w:rPr>
        <w:t>(</w:t>
      </w:r>
      <w:r w:rsidR="00D7349F">
        <w:rPr>
          <w:rFonts w:ascii="Tahoma" w:hAnsi="Tahoma" w:cs="Tahoma"/>
          <w:szCs w:val="22"/>
        </w:rPr>
        <w:t>n</w:t>
      </w:r>
      <w:r w:rsidR="00A953E1" w:rsidRPr="00D7349F">
        <w:rPr>
          <w:rFonts w:ascii="Tahoma" w:hAnsi="Tahoma" w:cs="Tahoma"/>
          <w:szCs w:val="22"/>
        </w:rPr>
        <w:t>u am identificat informații publice privind randamentele obligațiunilor cu maturitate 10 ani emise de Finlanda și Luxemburg</w:t>
      </w:r>
      <w:r w:rsidR="00A953E1">
        <w:rPr>
          <w:rFonts w:ascii="Tahoma" w:hAnsi="Tahoma" w:cs="Tahoma"/>
          <w:szCs w:val="22"/>
        </w:rPr>
        <w:t xml:space="preserve">) </w:t>
      </w:r>
      <w:r w:rsidR="00766F96" w:rsidRPr="006E60EB">
        <w:rPr>
          <w:rFonts w:ascii="Tahoma" w:hAnsi="Tahoma" w:cs="Tahoma"/>
          <w:szCs w:val="22"/>
        </w:rPr>
        <w:t xml:space="preserve">în perioada ianuarie 2017 </w:t>
      </w:r>
      <w:r w:rsidR="007E6D95" w:rsidRPr="006E60EB">
        <w:rPr>
          <w:rFonts w:ascii="Tahoma" w:hAnsi="Tahoma" w:cs="Tahoma"/>
          <w:szCs w:val="22"/>
        </w:rPr>
        <w:t>– octombrie 2019 (serii zilnice)</w:t>
      </w:r>
      <w:r w:rsidRPr="006E60EB">
        <w:rPr>
          <w:rFonts w:ascii="Tahoma" w:hAnsi="Tahoma" w:cs="Tahoma"/>
          <w:szCs w:val="22"/>
        </w:rPr>
        <w:t>, rata fără risc a fost astfel estimată la 0,</w:t>
      </w:r>
      <w:r w:rsidR="00671C8C">
        <w:rPr>
          <w:rFonts w:ascii="Tahoma" w:hAnsi="Tahoma" w:cs="Tahoma"/>
          <w:szCs w:val="22"/>
        </w:rPr>
        <w:t>31</w:t>
      </w:r>
      <w:r w:rsidRPr="006E60EB">
        <w:rPr>
          <w:rFonts w:ascii="Tahoma" w:hAnsi="Tahoma" w:cs="Tahoma"/>
          <w:szCs w:val="22"/>
        </w:rPr>
        <w:t>%.</w:t>
      </w:r>
    </w:p>
    <w:p w:rsidR="00C14508" w:rsidRPr="006E60EB" w:rsidRDefault="00C14508" w:rsidP="00854C8A">
      <w:pPr>
        <w:spacing w:before="120" w:after="120"/>
        <w:ind w:firstLine="720"/>
        <w:jc w:val="both"/>
        <w:rPr>
          <w:rFonts w:ascii="Tahoma" w:hAnsi="Tahoma" w:cs="Tahoma"/>
          <w:szCs w:val="22"/>
        </w:rPr>
      </w:pPr>
      <w:r w:rsidRPr="005A0C6A">
        <w:rPr>
          <w:rFonts w:ascii="Tahoma" w:hAnsi="Tahoma" w:cs="Tahoma"/>
          <w:szCs w:val="22"/>
        </w:rPr>
        <w:t xml:space="preserve">Atunci când rata fără risc este estimată pentru </w:t>
      </w:r>
      <w:r w:rsidR="00827800" w:rsidRPr="005A0C6A">
        <w:rPr>
          <w:rFonts w:ascii="Tahoma" w:hAnsi="Tahoma" w:cs="Tahoma"/>
          <w:szCs w:val="22"/>
        </w:rPr>
        <w:t>companii</w:t>
      </w:r>
      <w:r w:rsidRPr="005A0C6A">
        <w:rPr>
          <w:rFonts w:ascii="Tahoma" w:hAnsi="Tahoma" w:cs="Tahoma"/>
          <w:szCs w:val="22"/>
        </w:rPr>
        <w:t xml:space="preserve"> </w:t>
      </w:r>
      <w:r w:rsidR="00827800" w:rsidRPr="005A0C6A">
        <w:rPr>
          <w:rFonts w:ascii="Tahoma" w:hAnsi="Tahoma" w:cs="Tahoma"/>
          <w:szCs w:val="22"/>
        </w:rPr>
        <w:t xml:space="preserve">având </w:t>
      </w:r>
      <w:r w:rsidRPr="005A0C6A">
        <w:rPr>
          <w:rFonts w:ascii="Tahoma" w:hAnsi="Tahoma" w:cs="Tahoma"/>
          <w:szCs w:val="22"/>
        </w:rPr>
        <w:t>ca monedă o monedă locală (Lei</w:t>
      </w:r>
      <w:r w:rsidR="00827800" w:rsidRPr="005A0C6A">
        <w:rPr>
          <w:rFonts w:ascii="Tahoma" w:hAnsi="Tahoma" w:cs="Tahoma"/>
          <w:szCs w:val="22"/>
        </w:rPr>
        <w:t>, în cazul de față</w:t>
      </w:r>
      <w:r w:rsidRPr="005A0C6A">
        <w:rPr>
          <w:rFonts w:ascii="Tahoma" w:hAnsi="Tahoma" w:cs="Tahoma"/>
          <w:szCs w:val="22"/>
        </w:rPr>
        <w:t>), este necesară luarea în considerare a unei prime de risc de țară, care se adaugă la rata fără risc estimată conform celor prezentate anterior.</w:t>
      </w:r>
    </w:p>
    <w:p w:rsidR="00C14508" w:rsidRPr="006E60EB" w:rsidRDefault="00C14508" w:rsidP="00C14508">
      <w:pPr>
        <w:pStyle w:val="Heading2"/>
        <w:ind w:firstLine="0"/>
        <w:rPr>
          <w:rFonts w:ascii="Tahoma" w:hAnsi="Tahoma" w:cs="Tahoma"/>
          <w:color w:val="auto"/>
          <w:sz w:val="22"/>
          <w:szCs w:val="22"/>
        </w:rPr>
      </w:pPr>
      <w:bookmarkStart w:id="4" w:name="_Toc462079452"/>
      <w:bookmarkStart w:id="5" w:name="_Toc462132556"/>
      <w:r w:rsidRPr="006E60EB">
        <w:rPr>
          <w:rFonts w:ascii="Tahoma" w:hAnsi="Tahoma" w:cs="Tahoma"/>
          <w:color w:val="auto"/>
          <w:sz w:val="22"/>
          <w:szCs w:val="22"/>
        </w:rPr>
        <w:t>Prima de risc de țară</w:t>
      </w:r>
      <w:bookmarkEnd w:id="4"/>
      <w:bookmarkEnd w:id="5"/>
    </w:p>
    <w:p w:rsidR="00C14508" w:rsidRPr="006E60EB" w:rsidRDefault="00C14508" w:rsidP="00854C8A">
      <w:pPr>
        <w:spacing w:before="120" w:after="120"/>
        <w:ind w:firstLine="720"/>
        <w:jc w:val="both"/>
        <w:rPr>
          <w:rFonts w:ascii="Tahoma" w:hAnsi="Tahoma" w:cs="Tahoma"/>
          <w:szCs w:val="22"/>
        </w:rPr>
      </w:pPr>
      <w:r w:rsidRPr="006E60EB">
        <w:rPr>
          <w:rFonts w:ascii="Tahoma" w:hAnsi="Tahoma" w:cs="Tahoma"/>
          <w:szCs w:val="22"/>
        </w:rPr>
        <w:t>Prima de risc de țară a fost estimată pe baza date</w:t>
      </w:r>
      <w:r w:rsidR="00797F2A" w:rsidRPr="006E60EB">
        <w:rPr>
          <w:rFonts w:ascii="Tahoma" w:hAnsi="Tahoma" w:cs="Tahoma"/>
          <w:szCs w:val="22"/>
        </w:rPr>
        <w:t>lor</w:t>
      </w:r>
      <w:r w:rsidRPr="006E60EB">
        <w:rPr>
          <w:rFonts w:ascii="Tahoma" w:hAnsi="Tahoma" w:cs="Tahoma"/>
          <w:szCs w:val="22"/>
        </w:rPr>
        <w:t xml:space="preserve"> disponibile pe pagina </w:t>
      </w:r>
      <w:hyperlink r:id="rId9" w:history="1">
        <w:r w:rsidRPr="006E60EB">
          <w:rPr>
            <w:rStyle w:val="Hyperlink"/>
            <w:rFonts w:ascii="Tahoma" w:hAnsi="Tahoma" w:cs="Tahoma"/>
            <w:szCs w:val="22"/>
          </w:rPr>
          <w:t>http://pages.stern.nyu.edu/</w:t>
        </w:r>
      </w:hyperlink>
      <w:r w:rsidRPr="006E60EB">
        <w:rPr>
          <w:rFonts w:ascii="Tahoma" w:hAnsi="Tahoma" w:cs="Tahoma"/>
          <w:szCs w:val="22"/>
        </w:rPr>
        <w:t xml:space="preserve"> (Prof. Damodaran), care indică o primă de risc de țară de 2,</w:t>
      </w:r>
      <w:r w:rsidR="00797F2A" w:rsidRPr="006E60EB">
        <w:rPr>
          <w:rFonts w:ascii="Tahoma" w:hAnsi="Tahoma" w:cs="Tahoma"/>
          <w:szCs w:val="22"/>
        </w:rPr>
        <w:t>17</w:t>
      </w:r>
      <w:r w:rsidRPr="006E60EB">
        <w:rPr>
          <w:rFonts w:ascii="Tahoma" w:hAnsi="Tahoma" w:cs="Tahoma"/>
          <w:szCs w:val="22"/>
        </w:rPr>
        <w:t>%</w:t>
      </w:r>
      <w:r w:rsidR="00797F2A" w:rsidRPr="006E60EB">
        <w:rPr>
          <w:rFonts w:ascii="Tahoma" w:hAnsi="Tahoma" w:cs="Tahoma"/>
          <w:szCs w:val="22"/>
        </w:rPr>
        <w:t xml:space="preserve"> (ianuarie 2020)</w:t>
      </w:r>
      <w:r w:rsidRPr="006E60EB">
        <w:rPr>
          <w:rFonts w:ascii="Tahoma" w:hAnsi="Tahoma" w:cs="Tahoma"/>
          <w:szCs w:val="22"/>
        </w:rPr>
        <w:t>.</w:t>
      </w:r>
      <w:r w:rsidR="00DD4997">
        <w:rPr>
          <w:rFonts w:ascii="Tahoma" w:hAnsi="Tahoma" w:cs="Tahoma"/>
          <w:szCs w:val="22"/>
        </w:rPr>
        <w:t xml:space="preserve"> </w:t>
      </w:r>
    </w:p>
    <w:p w:rsidR="00C14508" w:rsidRPr="006E60EB" w:rsidRDefault="001A47DE" w:rsidP="00854C8A">
      <w:pPr>
        <w:spacing w:before="120" w:after="120"/>
        <w:ind w:firstLine="720"/>
        <w:jc w:val="both"/>
        <w:rPr>
          <w:rFonts w:ascii="Tahoma" w:hAnsi="Tahoma" w:cs="Tahoma"/>
          <w:szCs w:val="22"/>
        </w:rPr>
      </w:pPr>
      <w:r w:rsidRPr="006E60EB">
        <w:rPr>
          <w:rFonts w:ascii="Tahoma" w:hAnsi="Tahoma" w:cs="Tahoma"/>
          <w:szCs w:val="22"/>
        </w:rPr>
        <w:t>Astfel,</w:t>
      </w:r>
      <w:r w:rsidR="00C14508" w:rsidRPr="006E60EB">
        <w:rPr>
          <w:rFonts w:ascii="Tahoma" w:hAnsi="Tahoma" w:cs="Tahoma"/>
          <w:szCs w:val="22"/>
        </w:rPr>
        <w:t xml:space="preserve"> </w:t>
      </w:r>
      <w:r w:rsidRPr="006E60EB">
        <w:rPr>
          <w:rFonts w:ascii="Tahoma" w:hAnsi="Tahoma" w:cs="Tahoma"/>
          <w:szCs w:val="22"/>
        </w:rPr>
        <w:t xml:space="preserve">valoarea obținută pentru parametrul </w:t>
      </w:r>
      <m:oMath>
        <m:sSub>
          <m:sSubPr>
            <m:ctrlPr>
              <w:rPr>
                <w:rFonts w:ascii="Cambria Math" w:hAnsi="Cambria Math" w:cs="Tahoma"/>
                <w:i/>
                <w:color w:val="0070C0"/>
                <w:szCs w:val="22"/>
              </w:rPr>
            </m:ctrlPr>
          </m:sSubPr>
          <m:e>
            <m:r>
              <w:rPr>
                <w:rFonts w:ascii="Cambria Math" w:hAnsi="Cambria Math" w:cs="Tahoma"/>
                <w:color w:val="0070C0"/>
                <w:szCs w:val="22"/>
              </w:rPr>
              <m:t>R</m:t>
            </m:r>
          </m:e>
          <m:sub>
            <m:r>
              <w:rPr>
                <w:rFonts w:ascii="Cambria Math" w:hAnsi="Cambria Math" w:cs="Tahoma"/>
                <w:color w:val="0070C0"/>
                <w:szCs w:val="22"/>
              </w:rPr>
              <m:t>f</m:t>
            </m:r>
          </m:sub>
        </m:sSub>
      </m:oMath>
      <w:r w:rsidR="00C14508" w:rsidRPr="006E60EB">
        <w:rPr>
          <w:rFonts w:ascii="Tahoma" w:hAnsi="Tahoma" w:cs="Tahoma"/>
          <w:szCs w:val="22"/>
        </w:rPr>
        <w:t xml:space="preserve"> prin adunarea ratei fără risc (0,</w:t>
      </w:r>
      <w:r w:rsidR="00355F7A">
        <w:rPr>
          <w:rFonts w:ascii="Tahoma" w:hAnsi="Tahoma" w:cs="Tahoma"/>
          <w:szCs w:val="22"/>
        </w:rPr>
        <w:t>31</w:t>
      </w:r>
      <w:r w:rsidR="00C14508" w:rsidRPr="006E60EB">
        <w:rPr>
          <w:rFonts w:ascii="Tahoma" w:hAnsi="Tahoma" w:cs="Tahoma"/>
          <w:szCs w:val="22"/>
        </w:rPr>
        <w:t>%) cu prima de risc de țară (2,</w:t>
      </w:r>
      <w:r w:rsidRPr="006E60EB">
        <w:rPr>
          <w:rFonts w:ascii="Tahoma" w:hAnsi="Tahoma" w:cs="Tahoma"/>
          <w:szCs w:val="22"/>
        </w:rPr>
        <w:t>17</w:t>
      </w:r>
      <w:r w:rsidR="00C14508" w:rsidRPr="006E60EB">
        <w:rPr>
          <w:rFonts w:ascii="Tahoma" w:hAnsi="Tahoma" w:cs="Tahoma"/>
          <w:szCs w:val="22"/>
        </w:rPr>
        <w:t xml:space="preserve">%) </w:t>
      </w:r>
      <w:r w:rsidRPr="006E60EB">
        <w:rPr>
          <w:rFonts w:ascii="Tahoma" w:hAnsi="Tahoma" w:cs="Tahoma"/>
          <w:szCs w:val="22"/>
        </w:rPr>
        <w:t xml:space="preserve">reprezintă rata dobânzii fără risc </w:t>
      </w:r>
      <w:r w:rsidR="00C14508" w:rsidRPr="006E60EB">
        <w:rPr>
          <w:rFonts w:ascii="Tahoma" w:hAnsi="Tahoma" w:cs="Tahoma"/>
          <w:szCs w:val="22"/>
        </w:rPr>
        <w:t>(</w:t>
      </w:r>
      <w:r w:rsidRPr="006E60EB">
        <w:rPr>
          <w:rFonts w:ascii="Tahoma" w:hAnsi="Tahoma" w:cs="Tahoma"/>
          <w:szCs w:val="22"/>
        </w:rPr>
        <w:t>2</w:t>
      </w:r>
      <w:r w:rsidR="00C14508" w:rsidRPr="006E60EB">
        <w:rPr>
          <w:rFonts w:ascii="Tahoma" w:hAnsi="Tahoma" w:cs="Tahoma"/>
          <w:szCs w:val="22"/>
        </w:rPr>
        <w:t>,</w:t>
      </w:r>
      <w:r w:rsidRPr="006E60EB">
        <w:rPr>
          <w:rFonts w:ascii="Tahoma" w:hAnsi="Tahoma" w:cs="Tahoma"/>
          <w:szCs w:val="22"/>
        </w:rPr>
        <w:t>4</w:t>
      </w:r>
      <w:r w:rsidR="00F01ABB">
        <w:rPr>
          <w:rFonts w:ascii="Tahoma" w:hAnsi="Tahoma" w:cs="Tahoma"/>
          <w:szCs w:val="22"/>
        </w:rPr>
        <w:t>8</w:t>
      </w:r>
      <w:r w:rsidR="00C14508" w:rsidRPr="006E60EB">
        <w:rPr>
          <w:rFonts w:ascii="Tahoma" w:hAnsi="Tahoma" w:cs="Tahoma"/>
          <w:szCs w:val="22"/>
        </w:rPr>
        <w:t>%).</w:t>
      </w:r>
    </w:p>
    <w:p w:rsidR="00C14508" w:rsidRPr="006E60EB" w:rsidRDefault="00C14508" w:rsidP="00C14508">
      <w:pPr>
        <w:pStyle w:val="Heading2"/>
        <w:ind w:firstLine="0"/>
        <w:rPr>
          <w:rFonts w:ascii="Tahoma" w:hAnsi="Tahoma" w:cs="Tahoma"/>
          <w:color w:val="auto"/>
          <w:sz w:val="22"/>
          <w:szCs w:val="22"/>
        </w:rPr>
      </w:pPr>
      <w:bookmarkStart w:id="6" w:name="_Toc462079453"/>
      <w:bookmarkStart w:id="7" w:name="_Toc462132557"/>
      <w:r w:rsidRPr="006E60EB">
        <w:rPr>
          <w:rFonts w:ascii="Tahoma" w:hAnsi="Tahoma" w:cs="Tahoma"/>
          <w:color w:val="auto"/>
          <w:sz w:val="22"/>
          <w:szCs w:val="22"/>
        </w:rPr>
        <w:t xml:space="preserve">Prima de risc </w:t>
      </w:r>
      <w:bookmarkEnd w:id="6"/>
      <w:bookmarkEnd w:id="7"/>
      <w:r w:rsidR="009F78A4" w:rsidRPr="006E60EB">
        <w:rPr>
          <w:rFonts w:ascii="Tahoma" w:hAnsi="Tahoma" w:cs="Tahoma"/>
          <w:color w:val="auto"/>
          <w:sz w:val="22"/>
          <w:szCs w:val="22"/>
        </w:rPr>
        <w:t>aferentă</w:t>
      </w:r>
      <w:r w:rsidR="00060F28" w:rsidRPr="006E60EB">
        <w:rPr>
          <w:rFonts w:ascii="Tahoma" w:hAnsi="Tahoma" w:cs="Tahoma"/>
          <w:color w:val="auto"/>
          <w:sz w:val="22"/>
          <w:szCs w:val="22"/>
        </w:rPr>
        <w:t xml:space="preserve"> capitalului împrumutat</w:t>
      </w:r>
      <w:r w:rsidR="00FB1B69" w:rsidRPr="006E60EB">
        <w:rPr>
          <w:rFonts w:ascii="Tahoma" w:hAnsi="Tahoma" w:cs="Tahoma"/>
          <w:color w:val="auto"/>
          <w:sz w:val="22"/>
          <w:szCs w:val="22"/>
        </w:rPr>
        <w:t xml:space="preserve"> (</w:t>
      </w:r>
      <m:oMath>
        <m:r>
          <m:rPr>
            <m:sty m:val="bi"/>
          </m:rPr>
          <w:rPr>
            <w:rFonts w:ascii="Cambria Math" w:hAnsi="Cambria Math" w:cs="Tahoma"/>
            <w:sz w:val="22"/>
            <w:szCs w:val="22"/>
          </w:rPr>
          <m:t>DM</m:t>
        </m:r>
      </m:oMath>
      <w:r w:rsidR="00FB1B69" w:rsidRPr="006E60EB">
        <w:rPr>
          <w:rFonts w:ascii="Tahoma" w:hAnsi="Tahoma" w:cs="Tahoma"/>
          <w:color w:val="auto"/>
          <w:sz w:val="22"/>
          <w:szCs w:val="22"/>
        </w:rPr>
        <w:t>)</w:t>
      </w:r>
    </w:p>
    <w:p w:rsidR="00C14508" w:rsidRPr="006E60EB" w:rsidRDefault="00C14508" w:rsidP="009F78A4">
      <w:pPr>
        <w:spacing w:before="120" w:after="120"/>
        <w:ind w:firstLine="720"/>
        <w:jc w:val="both"/>
        <w:rPr>
          <w:rFonts w:ascii="Tahoma" w:hAnsi="Tahoma" w:cs="Tahoma"/>
          <w:szCs w:val="22"/>
        </w:rPr>
      </w:pPr>
      <w:r w:rsidRPr="006E60EB">
        <w:rPr>
          <w:rFonts w:ascii="Tahoma" w:hAnsi="Tahoma" w:cs="Tahoma"/>
          <w:szCs w:val="22"/>
        </w:rPr>
        <w:t xml:space="preserve">Prima de risc </w:t>
      </w:r>
      <w:r w:rsidR="00A657E5" w:rsidRPr="006E60EB">
        <w:rPr>
          <w:rFonts w:ascii="Tahoma" w:hAnsi="Tahoma" w:cs="Tahoma"/>
          <w:szCs w:val="22"/>
        </w:rPr>
        <w:t>aferentă capitalului împrumutat</w:t>
      </w:r>
      <w:r w:rsidRPr="006E60EB">
        <w:rPr>
          <w:rFonts w:ascii="Tahoma" w:hAnsi="Tahoma" w:cs="Tahoma"/>
          <w:szCs w:val="22"/>
        </w:rPr>
        <w:t xml:space="preserve"> reprezintă randamentul obținut pentru investițiile în acțiuni listate, în exces peste randamentul obținut pentru investițiile în active „lipsite de risc” (instrumente financiare cu venit fix de tipul obligațiunilor guvernamentale emise de guvernul statului în care operează </w:t>
      </w:r>
      <w:r w:rsidR="0045734E" w:rsidRPr="006E60EB">
        <w:rPr>
          <w:rFonts w:ascii="Tahoma" w:hAnsi="Tahoma" w:cs="Tahoma"/>
          <w:szCs w:val="22"/>
        </w:rPr>
        <w:t>companiile</w:t>
      </w:r>
      <w:r w:rsidRPr="006E60EB">
        <w:rPr>
          <w:rFonts w:ascii="Tahoma" w:hAnsi="Tahoma" w:cs="Tahoma"/>
          <w:szCs w:val="22"/>
        </w:rPr>
        <w:t xml:space="preserve"> </w:t>
      </w:r>
      <w:r w:rsidR="0045734E" w:rsidRPr="006E60EB">
        <w:rPr>
          <w:rFonts w:ascii="Tahoma" w:hAnsi="Tahoma" w:cs="Tahoma"/>
          <w:szCs w:val="22"/>
        </w:rPr>
        <w:t>reglementate</w:t>
      </w:r>
      <w:r w:rsidRPr="006E60EB">
        <w:rPr>
          <w:rFonts w:ascii="Tahoma" w:hAnsi="Tahoma" w:cs="Tahoma"/>
          <w:szCs w:val="22"/>
        </w:rPr>
        <w:t>.)</w:t>
      </w:r>
    </w:p>
    <w:p w:rsidR="004D1FA3" w:rsidRPr="006E60EB" w:rsidRDefault="004D1FA3" w:rsidP="009F78A4">
      <w:pPr>
        <w:spacing w:before="120" w:after="120"/>
        <w:ind w:firstLine="720"/>
        <w:jc w:val="both"/>
        <w:rPr>
          <w:rFonts w:ascii="Tahoma" w:hAnsi="Tahoma" w:cs="Tahoma"/>
          <w:szCs w:val="22"/>
        </w:rPr>
      </w:pPr>
      <w:r w:rsidRPr="006E60EB">
        <w:rPr>
          <w:rFonts w:ascii="Tahoma" w:hAnsi="Tahoma" w:cs="Tahoma"/>
          <w:szCs w:val="22"/>
        </w:rPr>
        <w:t>Conform raportului OAREC “Contabilitatea de reglementare în practică 2019”, capitolul “CMPC”</w:t>
      </w:r>
      <w:r w:rsidR="00084F0F" w:rsidRPr="006E60EB">
        <w:rPr>
          <w:rStyle w:val="FootnoteReference"/>
          <w:rFonts w:ascii="Tahoma" w:hAnsi="Tahoma" w:cs="Tahoma"/>
          <w:szCs w:val="22"/>
        </w:rPr>
        <w:footnoteReference w:id="2"/>
      </w:r>
      <w:r w:rsidR="00805F77" w:rsidRPr="006E60EB">
        <w:rPr>
          <w:rFonts w:ascii="Tahoma" w:hAnsi="Tahoma" w:cs="Tahoma"/>
          <w:szCs w:val="22"/>
        </w:rPr>
        <w:t xml:space="preserve">, principalele diferențe între valorile finale ale costului mediu ponderat al capitalului analizate sunt datorate parametrilor specifici țărilor (rata dobânzii fără risc, prima de risc a pieței de capital și rata impozitului pe profit), mai degrabă decât parametrii specifici sectorului </w:t>
      </w:r>
      <w:r w:rsidR="009F78A4" w:rsidRPr="006E60EB">
        <w:rPr>
          <w:rFonts w:ascii="Tahoma" w:hAnsi="Tahoma" w:cs="Tahoma"/>
          <w:szCs w:val="22"/>
        </w:rPr>
        <w:t xml:space="preserve">(Beta, gradul de îndatorare și prima de risc aferentă capitalului împrumutat). </w:t>
      </w:r>
    </w:p>
    <w:p w:rsidR="009F78A4" w:rsidRPr="006E60EB" w:rsidRDefault="00EC2D9E" w:rsidP="00460700">
      <w:pPr>
        <w:spacing w:before="120" w:after="120"/>
        <w:ind w:firstLine="720"/>
        <w:jc w:val="both"/>
        <w:rPr>
          <w:rFonts w:ascii="Tahoma" w:hAnsi="Tahoma" w:cs="Tahoma"/>
          <w:szCs w:val="22"/>
        </w:rPr>
      </w:pPr>
      <w:r w:rsidRPr="006E60EB">
        <w:rPr>
          <w:rFonts w:ascii="Tahoma" w:hAnsi="Tahoma" w:cs="Tahoma"/>
          <w:szCs w:val="22"/>
        </w:rPr>
        <w:t>Astfel, parametrii specifici sectorului vor fi estimați</w:t>
      </w:r>
      <w:r w:rsidR="00543A9A" w:rsidRPr="006E60EB">
        <w:rPr>
          <w:rFonts w:ascii="Tahoma" w:hAnsi="Tahoma" w:cs="Tahoma"/>
          <w:szCs w:val="22"/>
        </w:rPr>
        <w:t xml:space="preserve"> ca medie a </w:t>
      </w:r>
      <w:r w:rsidR="00B622DA" w:rsidRPr="006E60EB">
        <w:rPr>
          <w:rFonts w:ascii="Tahoma" w:hAnsi="Tahoma" w:cs="Tahoma"/>
          <w:szCs w:val="22"/>
        </w:rPr>
        <w:t xml:space="preserve">valorii </w:t>
      </w:r>
      <w:r w:rsidR="00543A9A" w:rsidRPr="006E60EB">
        <w:rPr>
          <w:rFonts w:ascii="Tahoma" w:hAnsi="Tahoma" w:cs="Tahoma"/>
          <w:szCs w:val="22"/>
        </w:rPr>
        <w:t xml:space="preserve">parametrilor publicați în raportul OAREC “Contabilitatea de reglementare în practică 2019”, capitolul “CMPC” pentru statele membre </w:t>
      </w:r>
      <w:r w:rsidR="00244BD1">
        <w:rPr>
          <w:rFonts w:ascii="Tahoma" w:hAnsi="Tahoma" w:cs="Tahoma"/>
          <w:szCs w:val="22"/>
        </w:rPr>
        <w:t>care nu au adoptat încă moneda</w:t>
      </w:r>
      <w:r w:rsidR="00543A9A" w:rsidRPr="006E60EB">
        <w:rPr>
          <w:rFonts w:ascii="Tahoma" w:hAnsi="Tahoma" w:cs="Tahoma"/>
          <w:szCs w:val="22"/>
        </w:rPr>
        <w:t xml:space="preserve"> euro (Bulgaria, Cehia, Croația, Ungaria, Polonia, Suedia)</w:t>
      </w:r>
      <w:r w:rsidR="003C154A">
        <w:rPr>
          <w:rStyle w:val="FootnoteReference"/>
          <w:rFonts w:ascii="Tahoma" w:hAnsi="Tahoma" w:cs="Tahoma"/>
          <w:szCs w:val="22"/>
        </w:rPr>
        <w:footnoteReference w:id="3"/>
      </w:r>
      <w:r w:rsidRPr="006E60EB">
        <w:rPr>
          <w:rFonts w:ascii="Tahoma" w:hAnsi="Tahoma" w:cs="Tahoma"/>
          <w:szCs w:val="22"/>
        </w:rPr>
        <w:t>.</w:t>
      </w:r>
      <w:r w:rsidR="00543A9A" w:rsidRPr="006E60EB">
        <w:rPr>
          <w:rFonts w:ascii="Tahoma" w:hAnsi="Tahoma" w:cs="Tahoma"/>
          <w:szCs w:val="22"/>
        </w:rPr>
        <w:t xml:space="preserve"> </w:t>
      </w:r>
      <w:r w:rsidR="0059519B">
        <w:rPr>
          <w:rFonts w:ascii="Tahoma" w:hAnsi="Tahoma" w:cs="Tahoma"/>
          <w:szCs w:val="22"/>
        </w:rPr>
        <w:t xml:space="preserve">Danemarca </w:t>
      </w:r>
      <w:r w:rsidR="006975A4">
        <w:rPr>
          <w:rFonts w:ascii="Tahoma" w:hAnsi="Tahoma" w:cs="Tahoma"/>
          <w:szCs w:val="22"/>
        </w:rPr>
        <w:t xml:space="preserve">a optat pentru </w:t>
      </w:r>
      <w:r w:rsidR="00244BD1">
        <w:rPr>
          <w:rFonts w:ascii="Tahoma" w:hAnsi="Tahoma" w:cs="Tahoma"/>
          <w:szCs w:val="22"/>
        </w:rPr>
        <w:t>excepta</w:t>
      </w:r>
      <w:r w:rsidR="006975A4">
        <w:rPr>
          <w:rFonts w:ascii="Tahoma" w:hAnsi="Tahoma" w:cs="Tahoma"/>
          <w:szCs w:val="22"/>
        </w:rPr>
        <w:t>rea</w:t>
      </w:r>
      <w:r w:rsidR="00244BD1">
        <w:rPr>
          <w:rFonts w:ascii="Tahoma" w:hAnsi="Tahoma" w:cs="Tahoma"/>
          <w:szCs w:val="22"/>
        </w:rPr>
        <w:t xml:space="preserve"> de la accederea în Uniunea Economică și Monetară </w:t>
      </w:r>
      <w:r w:rsidR="003C154A">
        <w:rPr>
          <w:rFonts w:ascii="Tahoma" w:hAnsi="Tahoma" w:cs="Tahoma"/>
          <w:szCs w:val="22"/>
        </w:rPr>
        <w:t>(</w:t>
      </w:r>
      <w:r w:rsidR="00244BD1">
        <w:rPr>
          <w:rFonts w:ascii="Tahoma" w:hAnsi="Tahoma" w:cs="Tahoma"/>
          <w:szCs w:val="22"/>
        </w:rPr>
        <w:t>adoptarea monedei euro</w:t>
      </w:r>
      <w:r w:rsidR="003C154A">
        <w:rPr>
          <w:rFonts w:ascii="Tahoma" w:hAnsi="Tahoma" w:cs="Tahoma"/>
          <w:szCs w:val="22"/>
        </w:rPr>
        <w:t xml:space="preserve">) prin </w:t>
      </w:r>
      <w:r w:rsidR="006975A4">
        <w:rPr>
          <w:rFonts w:ascii="Tahoma" w:hAnsi="Tahoma" w:cs="Tahoma"/>
          <w:szCs w:val="22"/>
        </w:rPr>
        <w:t>semnarea unui protocol la Tratatul de la Maastricht</w:t>
      </w:r>
      <w:r w:rsidR="001A4CC3">
        <w:rPr>
          <w:rFonts w:ascii="Tahoma" w:hAnsi="Tahoma" w:cs="Tahoma"/>
          <w:szCs w:val="22"/>
        </w:rPr>
        <w:t>, subsecvent formalizat printr-un protocol revizuit inclus în Tratatul de la Lisabona</w:t>
      </w:r>
      <w:r w:rsidR="00244BD1">
        <w:rPr>
          <w:rFonts w:ascii="Tahoma" w:hAnsi="Tahoma" w:cs="Tahoma"/>
          <w:szCs w:val="22"/>
        </w:rPr>
        <w:t>.</w:t>
      </w:r>
    </w:p>
    <w:p w:rsidR="00C14508" w:rsidRPr="006E60EB" w:rsidRDefault="00C14508" w:rsidP="003D747C">
      <w:pPr>
        <w:spacing w:before="120" w:after="120"/>
        <w:ind w:firstLine="720"/>
        <w:jc w:val="both"/>
        <w:rPr>
          <w:rFonts w:ascii="Tahoma" w:hAnsi="Tahoma" w:cs="Tahoma"/>
          <w:szCs w:val="22"/>
        </w:rPr>
      </w:pPr>
      <w:r w:rsidRPr="006E60EB">
        <w:rPr>
          <w:rFonts w:ascii="Tahoma" w:hAnsi="Tahoma" w:cs="Tahoma"/>
          <w:szCs w:val="22"/>
        </w:rPr>
        <w:t xml:space="preserve">Prima de risc </w:t>
      </w:r>
      <w:r w:rsidR="00460700" w:rsidRPr="006E60EB">
        <w:rPr>
          <w:rFonts w:ascii="Tahoma" w:hAnsi="Tahoma" w:cs="Tahoma"/>
          <w:szCs w:val="22"/>
        </w:rPr>
        <w:t>aferentă capitalului împrumutat</w:t>
      </w:r>
      <w:r w:rsidRPr="006E60EB">
        <w:rPr>
          <w:rFonts w:ascii="Tahoma" w:hAnsi="Tahoma" w:cs="Tahoma"/>
          <w:szCs w:val="22"/>
        </w:rPr>
        <w:t xml:space="preserve"> utilizată în acest raport a fost estimată la </w:t>
      </w:r>
      <w:r w:rsidR="00460700" w:rsidRPr="006E60EB">
        <w:rPr>
          <w:rFonts w:ascii="Tahoma" w:hAnsi="Tahoma" w:cs="Tahoma"/>
          <w:szCs w:val="22"/>
        </w:rPr>
        <w:t>1,74</w:t>
      </w:r>
      <w:r w:rsidRPr="006E60EB">
        <w:rPr>
          <w:rFonts w:ascii="Tahoma" w:hAnsi="Tahoma" w:cs="Tahoma"/>
          <w:szCs w:val="22"/>
        </w:rPr>
        <w:t xml:space="preserve">%. </w:t>
      </w:r>
    </w:p>
    <w:p w:rsidR="003D747C" w:rsidRPr="006E60EB" w:rsidRDefault="003D747C" w:rsidP="003D747C">
      <w:pPr>
        <w:pStyle w:val="Heading2"/>
        <w:ind w:firstLine="0"/>
        <w:rPr>
          <w:rFonts w:ascii="Tahoma" w:hAnsi="Tahoma" w:cs="Tahoma"/>
          <w:color w:val="auto"/>
          <w:sz w:val="22"/>
          <w:szCs w:val="22"/>
        </w:rPr>
      </w:pPr>
      <w:bookmarkStart w:id="8" w:name="_Toc462079455"/>
      <w:bookmarkStart w:id="9" w:name="_Toc462132559"/>
      <w:r w:rsidRPr="006E60EB">
        <w:rPr>
          <w:rFonts w:ascii="Tahoma" w:hAnsi="Tahoma" w:cs="Tahoma"/>
          <w:color w:val="auto"/>
          <w:sz w:val="22"/>
          <w:szCs w:val="22"/>
        </w:rPr>
        <w:t>Costul datoriei</w:t>
      </w:r>
      <w:bookmarkEnd w:id="8"/>
      <w:bookmarkEnd w:id="9"/>
      <w:r w:rsidR="00C77A9D" w:rsidRPr="006E60EB">
        <w:rPr>
          <w:rFonts w:ascii="Tahoma" w:hAnsi="Tahoma" w:cs="Tahoma"/>
          <w:color w:val="auto"/>
          <w:sz w:val="22"/>
          <w:szCs w:val="22"/>
        </w:rPr>
        <w:t xml:space="preserve"> (</w:t>
      </w:r>
      <m:oMath>
        <m:sSub>
          <m:sSubPr>
            <m:ctrlPr>
              <w:rPr>
                <w:rFonts w:ascii="Cambria Math" w:hAnsi="Cambria Math" w:cs="Tahoma"/>
                <w:i/>
                <w:sz w:val="22"/>
                <w:szCs w:val="22"/>
              </w:rPr>
            </m:ctrlPr>
          </m:sSubPr>
          <m:e>
            <m:r>
              <m:rPr>
                <m:sty m:val="bi"/>
              </m:rPr>
              <w:rPr>
                <w:rFonts w:ascii="Cambria Math" w:hAnsi="Cambria Math" w:cs="Tahoma"/>
                <w:sz w:val="22"/>
                <w:szCs w:val="22"/>
              </w:rPr>
              <m:t>k</m:t>
            </m:r>
          </m:e>
          <m:sub>
            <m:r>
              <m:rPr>
                <m:sty m:val="bi"/>
              </m:rPr>
              <w:rPr>
                <w:rFonts w:ascii="Cambria Math" w:hAnsi="Cambria Math" w:cs="Tahoma"/>
                <w:sz w:val="22"/>
                <w:szCs w:val="22"/>
              </w:rPr>
              <m:t>D</m:t>
            </m:r>
          </m:sub>
        </m:sSub>
      </m:oMath>
      <w:r w:rsidR="00C77A9D" w:rsidRPr="006E60EB">
        <w:rPr>
          <w:rFonts w:ascii="Tahoma" w:hAnsi="Tahoma" w:cs="Tahoma"/>
          <w:color w:val="auto"/>
          <w:sz w:val="22"/>
          <w:szCs w:val="22"/>
        </w:rPr>
        <w:t>)</w:t>
      </w:r>
    </w:p>
    <w:p w:rsidR="003D747C" w:rsidRPr="006E60EB" w:rsidRDefault="003D747C" w:rsidP="00854C8A">
      <w:pPr>
        <w:spacing w:before="120" w:after="120"/>
        <w:ind w:firstLine="720"/>
        <w:jc w:val="both"/>
        <w:rPr>
          <w:rFonts w:ascii="Tahoma" w:hAnsi="Tahoma" w:cs="Tahoma"/>
          <w:szCs w:val="22"/>
        </w:rPr>
      </w:pPr>
      <w:r w:rsidRPr="006E60EB">
        <w:rPr>
          <w:rFonts w:ascii="Tahoma" w:hAnsi="Tahoma" w:cs="Tahoma"/>
          <w:szCs w:val="22"/>
        </w:rPr>
        <w:t>Costul datoriei este determinat prin adăugarea la rata fără risc a unei prime de risc asociate capitalului împrumutat.</w:t>
      </w:r>
    </w:p>
    <w:p w:rsidR="009847F2" w:rsidRPr="006E60EB" w:rsidRDefault="003D747C" w:rsidP="00854C8A">
      <w:pPr>
        <w:spacing w:before="120" w:after="120"/>
        <w:ind w:firstLine="720"/>
        <w:jc w:val="both"/>
        <w:rPr>
          <w:rFonts w:ascii="Tahoma" w:hAnsi="Tahoma" w:cs="Tahoma"/>
          <w:szCs w:val="22"/>
        </w:rPr>
      </w:pPr>
      <w:r w:rsidRPr="006E60EB">
        <w:rPr>
          <w:rFonts w:ascii="Tahoma" w:hAnsi="Tahoma" w:cs="Tahoma"/>
          <w:szCs w:val="22"/>
        </w:rPr>
        <w:t xml:space="preserve">Rata fără risc a fost estimată </w:t>
      </w:r>
      <w:r w:rsidR="00303D82" w:rsidRPr="006E60EB">
        <w:rPr>
          <w:rFonts w:ascii="Tahoma" w:hAnsi="Tahoma" w:cs="Tahoma"/>
          <w:szCs w:val="22"/>
        </w:rPr>
        <w:t>(</w:t>
      </w:r>
      <w:r w:rsidRPr="006E60EB">
        <w:rPr>
          <w:rFonts w:ascii="Tahoma" w:hAnsi="Tahoma" w:cs="Tahoma"/>
          <w:szCs w:val="22"/>
        </w:rPr>
        <w:t xml:space="preserve">așa cum este prezentat </w:t>
      </w:r>
      <w:r w:rsidR="00303D82" w:rsidRPr="006E60EB">
        <w:rPr>
          <w:rFonts w:ascii="Tahoma" w:hAnsi="Tahoma" w:cs="Tahoma"/>
          <w:szCs w:val="22"/>
        </w:rPr>
        <w:t>la punctul 1.2)</w:t>
      </w:r>
      <w:r w:rsidRPr="006E60EB">
        <w:rPr>
          <w:rFonts w:ascii="Tahoma" w:hAnsi="Tahoma" w:cs="Tahoma"/>
          <w:szCs w:val="22"/>
        </w:rPr>
        <w:t xml:space="preserve"> la valoare</w:t>
      </w:r>
      <w:r w:rsidR="00303D82" w:rsidRPr="006E60EB">
        <w:rPr>
          <w:rFonts w:ascii="Tahoma" w:hAnsi="Tahoma" w:cs="Tahoma"/>
          <w:szCs w:val="22"/>
        </w:rPr>
        <w:t>a</w:t>
      </w:r>
      <w:r w:rsidRPr="006E60EB">
        <w:rPr>
          <w:rFonts w:ascii="Tahoma" w:hAnsi="Tahoma" w:cs="Tahoma"/>
          <w:szCs w:val="22"/>
        </w:rPr>
        <w:t xml:space="preserve"> de </w:t>
      </w:r>
      <w:r w:rsidR="00303D82" w:rsidRPr="006E60EB">
        <w:rPr>
          <w:rFonts w:ascii="Tahoma" w:hAnsi="Tahoma" w:cs="Tahoma"/>
          <w:szCs w:val="22"/>
        </w:rPr>
        <w:t>2</w:t>
      </w:r>
      <w:r w:rsidRPr="006E60EB">
        <w:rPr>
          <w:rFonts w:ascii="Tahoma" w:hAnsi="Tahoma" w:cs="Tahoma"/>
          <w:szCs w:val="22"/>
        </w:rPr>
        <w:t>,</w:t>
      </w:r>
      <w:r w:rsidR="00303D82" w:rsidRPr="006E60EB">
        <w:rPr>
          <w:rFonts w:ascii="Tahoma" w:hAnsi="Tahoma" w:cs="Tahoma"/>
          <w:szCs w:val="22"/>
        </w:rPr>
        <w:t>4</w:t>
      </w:r>
      <w:r w:rsidR="00B868D8">
        <w:rPr>
          <w:rFonts w:ascii="Tahoma" w:hAnsi="Tahoma" w:cs="Tahoma"/>
          <w:szCs w:val="22"/>
        </w:rPr>
        <w:t>8</w:t>
      </w:r>
      <w:r w:rsidRPr="006E60EB">
        <w:rPr>
          <w:rFonts w:ascii="Tahoma" w:hAnsi="Tahoma" w:cs="Tahoma"/>
          <w:szCs w:val="22"/>
        </w:rPr>
        <w:t>%</w:t>
      </w:r>
      <w:r w:rsidR="008A38E2" w:rsidRPr="006E60EB">
        <w:rPr>
          <w:rFonts w:ascii="Tahoma" w:hAnsi="Tahoma" w:cs="Tahoma"/>
          <w:szCs w:val="22"/>
        </w:rPr>
        <w:t>, iar prima de risc aferentă capitalului împrumutat a fost estimată la 1,74%, prin urmare costul datoriei (</w:t>
      </w:r>
      <m:oMath>
        <m:sSub>
          <m:sSubPr>
            <m:ctrlPr>
              <w:rPr>
                <w:rFonts w:ascii="Cambria Math" w:hAnsi="Cambria Math" w:cs="Tahoma"/>
                <w:i/>
                <w:szCs w:val="22"/>
              </w:rPr>
            </m:ctrlPr>
          </m:sSubPr>
          <m:e>
            <m:r>
              <w:rPr>
                <w:rFonts w:ascii="Cambria Math" w:hAnsi="Cambria Math" w:cs="Tahoma"/>
                <w:szCs w:val="22"/>
              </w:rPr>
              <m:t>k</m:t>
            </m:r>
          </m:e>
          <m:sub>
            <m:r>
              <w:rPr>
                <w:rFonts w:ascii="Cambria Math" w:hAnsi="Cambria Math" w:cs="Tahoma"/>
                <w:szCs w:val="22"/>
              </w:rPr>
              <m:t>D</m:t>
            </m:r>
          </m:sub>
        </m:sSub>
      </m:oMath>
      <w:r w:rsidR="008A38E2" w:rsidRPr="006E60EB">
        <w:rPr>
          <w:rFonts w:ascii="Tahoma" w:hAnsi="Tahoma" w:cs="Tahoma"/>
          <w:szCs w:val="22"/>
        </w:rPr>
        <w:t>) este de 4,</w:t>
      </w:r>
      <w:r w:rsidR="003105B6">
        <w:rPr>
          <w:rFonts w:ascii="Tahoma" w:hAnsi="Tahoma" w:cs="Tahoma"/>
          <w:szCs w:val="22"/>
        </w:rPr>
        <w:t>22</w:t>
      </w:r>
      <w:r w:rsidR="008A38E2" w:rsidRPr="006E60EB">
        <w:rPr>
          <w:rFonts w:ascii="Tahoma" w:hAnsi="Tahoma" w:cs="Tahoma"/>
          <w:szCs w:val="22"/>
        </w:rPr>
        <w:t>%.</w:t>
      </w:r>
    </w:p>
    <w:p w:rsidR="009847F2" w:rsidRPr="006E60EB" w:rsidRDefault="009847F2" w:rsidP="009847F2">
      <w:pPr>
        <w:pStyle w:val="Heading2"/>
        <w:ind w:firstLine="0"/>
        <w:rPr>
          <w:rFonts w:ascii="Tahoma" w:hAnsi="Tahoma" w:cs="Tahoma"/>
          <w:color w:val="auto"/>
          <w:sz w:val="22"/>
          <w:szCs w:val="22"/>
        </w:rPr>
      </w:pPr>
      <w:r w:rsidRPr="006E60EB">
        <w:rPr>
          <w:rFonts w:ascii="Tahoma" w:hAnsi="Tahoma" w:cs="Tahoma"/>
          <w:color w:val="auto"/>
          <w:sz w:val="22"/>
          <w:szCs w:val="22"/>
        </w:rPr>
        <w:t>Factorul Beta (</w:t>
      </w:r>
      <m:oMath>
        <m:r>
          <m:rPr>
            <m:sty m:val="bi"/>
          </m:rPr>
          <w:rPr>
            <w:rFonts w:ascii="Cambria Math" w:hAnsi="Cambria Math" w:cs="Tahoma"/>
            <w:sz w:val="22"/>
            <w:szCs w:val="22"/>
          </w:rPr>
          <m:t>β</m:t>
        </m:r>
      </m:oMath>
      <w:r w:rsidRPr="006E60EB">
        <w:rPr>
          <w:rFonts w:ascii="Tahoma" w:hAnsi="Tahoma" w:cs="Tahoma"/>
          <w:color w:val="auto"/>
          <w:sz w:val="22"/>
          <w:szCs w:val="22"/>
        </w:rPr>
        <w:t>)</w:t>
      </w:r>
    </w:p>
    <w:p w:rsidR="009847F2" w:rsidRPr="006E60EB" w:rsidRDefault="00DE2DDC" w:rsidP="009F6198">
      <w:pPr>
        <w:spacing w:before="120" w:after="120"/>
        <w:ind w:firstLine="720"/>
        <w:jc w:val="both"/>
        <w:rPr>
          <w:rFonts w:ascii="Tahoma" w:hAnsi="Tahoma" w:cs="Tahoma"/>
          <w:szCs w:val="22"/>
        </w:rPr>
      </w:pPr>
      <w:r w:rsidRPr="006E60EB">
        <w:rPr>
          <w:rFonts w:ascii="Tahoma" w:hAnsi="Tahoma" w:cs="Tahoma"/>
          <w:szCs w:val="22"/>
        </w:rPr>
        <w:t xml:space="preserve">Factorul beta reflectă </w:t>
      </w:r>
      <w:r w:rsidR="00F26742" w:rsidRPr="006E60EB">
        <w:rPr>
          <w:rFonts w:ascii="Tahoma" w:hAnsi="Tahoma" w:cs="Tahoma"/>
          <w:szCs w:val="22"/>
        </w:rPr>
        <w:t>volatilitatea (sau riscul sistematic) al portofoliului, în comparație cu ansamblul pieței</w:t>
      </w:r>
      <w:r w:rsidRPr="006E60EB">
        <w:rPr>
          <w:rFonts w:ascii="Tahoma" w:hAnsi="Tahoma" w:cs="Tahoma"/>
          <w:szCs w:val="22"/>
        </w:rPr>
        <w:t xml:space="preserve">. </w:t>
      </w:r>
    </w:p>
    <w:p w:rsidR="009F6198" w:rsidRPr="006E60EB" w:rsidRDefault="009F6198" w:rsidP="003D747C">
      <w:pPr>
        <w:spacing w:before="120" w:after="120"/>
        <w:jc w:val="both"/>
        <w:rPr>
          <w:rFonts w:ascii="Tahoma" w:hAnsi="Tahoma" w:cs="Tahoma"/>
          <w:szCs w:val="22"/>
        </w:rPr>
      </w:pPr>
      <w:r w:rsidRPr="006E60EB">
        <w:rPr>
          <w:rFonts w:ascii="Tahoma" w:hAnsi="Tahoma" w:cs="Tahoma"/>
          <w:szCs w:val="22"/>
        </w:rPr>
        <w:tab/>
        <w:t xml:space="preserve">După cum am arătat la punctul 1.3, </w:t>
      </w:r>
      <w:r w:rsidR="00C61369" w:rsidRPr="006E60EB">
        <w:rPr>
          <w:rFonts w:ascii="Tahoma" w:hAnsi="Tahoma" w:cs="Tahoma"/>
          <w:szCs w:val="22"/>
        </w:rPr>
        <w:t xml:space="preserve">factorul beta va fi estimat pe baza mediei </w:t>
      </w:r>
      <w:r w:rsidR="00EC33C8" w:rsidRPr="006E60EB">
        <w:rPr>
          <w:rFonts w:ascii="Tahoma" w:hAnsi="Tahoma" w:cs="Tahoma"/>
          <w:szCs w:val="22"/>
        </w:rPr>
        <w:t>valorilor din statele membre din zona non-Euro, astfel:</w:t>
      </w:r>
      <w:r w:rsidR="008454A9" w:rsidRPr="006E60EB">
        <w:rPr>
          <w:rFonts w:ascii="Tahoma" w:hAnsi="Tahoma" w:cs="Tahoma"/>
          <w:szCs w:val="22"/>
        </w:rPr>
        <w:t xml:space="preserve"> </w:t>
      </w:r>
    </w:p>
    <w:p w:rsidR="009F6198" w:rsidRPr="006E60EB" w:rsidRDefault="009F6198" w:rsidP="003D747C">
      <w:pPr>
        <w:spacing w:before="120" w:after="120"/>
        <w:jc w:val="both"/>
        <w:rPr>
          <w:rFonts w:ascii="Tahoma" w:hAnsi="Tahoma" w:cs="Tahoma"/>
          <w:szCs w:val="22"/>
        </w:rPr>
      </w:pPr>
    </w:p>
    <w:tbl>
      <w:tblPr>
        <w:tblW w:w="9280" w:type="dxa"/>
        <w:tblLook w:val="04A0" w:firstRow="1" w:lastRow="0" w:firstColumn="1" w:lastColumn="0" w:noHBand="0" w:noVBand="1"/>
      </w:tblPr>
      <w:tblGrid>
        <w:gridCol w:w="1705"/>
        <w:gridCol w:w="1080"/>
        <w:gridCol w:w="900"/>
        <w:gridCol w:w="1080"/>
        <w:gridCol w:w="1080"/>
        <w:gridCol w:w="1080"/>
        <w:gridCol w:w="1080"/>
        <w:gridCol w:w="1275"/>
      </w:tblGrid>
      <w:tr w:rsidR="00A16655" w:rsidRPr="00A16655" w:rsidTr="00DE2DDC">
        <w:trPr>
          <w:trHeight w:val="288"/>
        </w:trPr>
        <w:tc>
          <w:tcPr>
            <w:tcW w:w="1705" w:type="dxa"/>
            <w:vMerge w:val="restart"/>
            <w:tcBorders>
              <w:top w:val="single" w:sz="4" w:space="0" w:color="auto"/>
              <w:left w:val="single" w:sz="4" w:space="0" w:color="auto"/>
              <w:right w:val="single" w:sz="4" w:space="0" w:color="auto"/>
            </w:tcBorders>
            <w:noWrap/>
            <w:vAlign w:val="bottom"/>
            <w:hideMark/>
          </w:tcPr>
          <w:p w:rsidR="00DE2DDC" w:rsidRPr="003600FD" w:rsidRDefault="00DE2DDC" w:rsidP="00581618">
            <w:pPr>
              <w:rPr>
                <w:rFonts w:ascii="Tahoma" w:hAnsi="Tahoma" w:cs="Tahoma"/>
                <w:b/>
                <w:bCs/>
                <w:color w:val="000000"/>
                <w:szCs w:val="22"/>
              </w:rPr>
            </w:pPr>
            <w:r w:rsidRPr="003600FD">
              <w:rPr>
                <w:rFonts w:ascii="Tahoma" w:hAnsi="Tahoma" w:cs="Tahoma"/>
                <w:b/>
                <w:bCs/>
                <w:color w:val="000000"/>
                <w:szCs w:val="22"/>
              </w:rPr>
              <w:t> </w:t>
            </w:r>
          </w:p>
          <w:p w:rsidR="00DE2DDC" w:rsidRPr="003600FD" w:rsidRDefault="00DE2DDC" w:rsidP="00581618">
            <w:pPr>
              <w:rPr>
                <w:rFonts w:ascii="Tahoma" w:hAnsi="Tahoma" w:cs="Tahoma"/>
                <w:b/>
                <w:bCs/>
                <w:color w:val="000000"/>
                <w:szCs w:val="22"/>
              </w:rPr>
            </w:pPr>
            <w:r w:rsidRPr="003600FD">
              <w:rPr>
                <w:rFonts w:ascii="Tahoma" w:hAnsi="Tahoma" w:cs="Tahoma"/>
                <w:b/>
                <w:bCs/>
                <w:szCs w:val="22"/>
              </w:rPr>
              <w:t xml:space="preserve"> </w:t>
            </w:r>
            <w:r w:rsidR="008454A9" w:rsidRPr="003600FD">
              <w:rPr>
                <w:rFonts w:ascii="Tahoma" w:hAnsi="Tahoma" w:cs="Tahoma"/>
                <w:b/>
                <w:bCs/>
                <w:szCs w:val="22"/>
              </w:rPr>
              <w:t>B</w:t>
            </w:r>
            <w:r w:rsidRPr="003600FD">
              <w:rPr>
                <w:rFonts w:ascii="Tahoma" w:hAnsi="Tahoma" w:cs="Tahoma"/>
                <w:b/>
                <w:bCs/>
                <w:szCs w:val="22"/>
              </w:rPr>
              <w:t>eta</w:t>
            </w:r>
          </w:p>
        </w:tc>
        <w:tc>
          <w:tcPr>
            <w:tcW w:w="1080" w:type="dxa"/>
            <w:tcBorders>
              <w:top w:val="single" w:sz="4" w:space="0" w:color="auto"/>
              <w:left w:val="nil"/>
              <w:bottom w:val="nil"/>
              <w:right w:val="single" w:sz="4" w:space="0" w:color="auto"/>
            </w:tcBorders>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BG</w:t>
            </w:r>
          </w:p>
        </w:tc>
        <w:tc>
          <w:tcPr>
            <w:tcW w:w="900" w:type="dxa"/>
            <w:tcBorders>
              <w:top w:val="single" w:sz="4" w:space="0" w:color="auto"/>
              <w:left w:val="nil"/>
              <w:bottom w:val="nil"/>
              <w:right w:val="single" w:sz="4" w:space="0" w:color="auto"/>
            </w:tcBorders>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CZ</w:t>
            </w:r>
          </w:p>
        </w:tc>
        <w:tc>
          <w:tcPr>
            <w:tcW w:w="1080" w:type="dxa"/>
            <w:tcBorders>
              <w:top w:val="single" w:sz="4" w:space="0" w:color="auto"/>
              <w:left w:val="nil"/>
              <w:bottom w:val="nil"/>
              <w:right w:val="single" w:sz="4" w:space="0" w:color="auto"/>
            </w:tcBorders>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HR</w:t>
            </w:r>
          </w:p>
        </w:tc>
        <w:tc>
          <w:tcPr>
            <w:tcW w:w="1080" w:type="dxa"/>
            <w:tcBorders>
              <w:top w:val="single" w:sz="4" w:space="0" w:color="auto"/>
              <w:left w:val="nil"/>
              <w:bottom w:val="nil"/>
              <w:right w:val="single" w:sz="4" w:space="0" w:color="auto"/>
            </w:tcBorders>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HU</w:t>
            </w:r>
          </w:p>
        </w:tc>
        <w:tc>
          <w:tcPr>
            <w:tcW w:w="1080" w:type="dxa"/>
            <w:tcBorders>
              <w:top w:val="single" w:sz="4" w:space="0" w:color="auto"/>
              <w:left w:val="nil"/>
              <w:bottom w:val="nil"/>
              <w:right w:val="single" w:sz="4" w:space="0" w:color="auto"/>
            </w:tcBorders>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PL</w:t>
            </w:r>
          </w:p>
        </w:tc>
        <w:tc>
          <w:tcPr>
            <w:tcW w:w="1080" w:type="dxa"/>
            <w:tcBorders>
              <w:top w:val="single" w:sz="4" w:space="0" w:color="auto"/>
              <w:left w:val="nil"/>
              <w:bottom w:val="nil"/>
              <w:right w:val="single" w:sz="4" w:space="0" w:color="auto"/>
            </w:tcBorders>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SE</w:t>
            </w:r>
          </w:p>
        </w:tc>
        <w:tc>
          <w:tcPr>
            <w:tcW w:w="1275" w:type="dxa"/>
            <w:tcBorders>
              <w:top w:val="single" w:sz="4" w:space="0" w:color="auto"/>
              <w:left w:val="nil"/>
              <w:bottom w:val="single" w:sz="4" w:space="0" w:color="auto"/>
              <w:right w:val="single" w:sz="4" w:space="0" w:color="auto"/>
            </w:tcBorders>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Medie</w:t>
            </w:r>
          </w:p>
        </w:tc>
      </w:tr>
      <w:tr w:rsidR="00DE2DDC" w:rsidRPr="00CC5C30" w:rsidTr="00DE2DDC">
        <w:trPr>
          <w:trHeight w:val="312"/>
        </w:trPr>
        <w:tc>
          <w:tcPr>
            <w:tcW w:w="1705" w:type="dxa"/>
            <w:vMerge/>
            <w:tcBorders>
              <w:left w:val="single" w:sz="4" w:space="0" w:color="auto"/>
              <w:bottom w:val="single" w:sz="4" w:space="0" w:color="auto"/>
              <w:right w:val="single" w:sz="4" w:space="0" w:color="auto"/>
            </w:tcBorders>
            <w:vAlign w:val="center"/>
            <w:hideMark/>
          </w:tcPr>
          <w:p w:rsidR="00DE2DDC" w:rsidRPr="00E522BD" w:rsidRDefault="00DE2DDC" w:rsidP="00581618">
            <w:pPr>
              <w:rPr>
                <w:rFonts w:ascii="Tahoma" w:hAnsi="Tahoma" w:cs="Tahoma"/>
                <w:b/>
                <w:bCs/>
                <w:szCs w:val="22"/>
              </w:rPr>
            </w:pPr>
          </w:p>
        </w:tc>
        <w:tc>
          <w:tcPr>
            <w:tcW w:w="1080" w:type="dxa"/>
            <w:tcBorders>
              <w:top w:val="nil"/>
              <w:left w:val="nil"/>
              <w:bottom w:val="single" w:sz="4" w:space="0" w:color="auto"/>
              <w:right w:val="single" w:sz="4" w:space="0" w:color="auto"/>
            </w:tcBorders>
            <w:noWrap/>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0.827</w:t>
            </w:r>
          </w:p>
        </w:tc>
        <w:tc>
          <w:tcPr>
            <w:tcW w:w="900" w:type="dxa"/>
            <w:tcBorders>
              <w:top w:val="nil"/>
              <w:left w:val="nil"/>
              <w:bottom w:val="single" w:sz="4" w:space="0" w:color="auto"/>
              <w:right w:val="single" w:sz="4" w:space="0" w:color="auto"/>
            </w:tcBorders>
            <w:noWrap/>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0.784</w:t>
            </w:r>
          </w:p>
        </w:tc>
        <w:tc>
          <w:tcPr>
            <w:tcW w:w="1080" w:type="dxa"/>
            <w:tcBorders>
              <w:top w:val="nil"/>
              <w:left w:val="nil"/>
              <w:bottom w:val="single" w:sz="4" w:space="0" w:color="auto"/>
              <w:right w:val="single" w:sz="4" w:space="0" w:color="auto"/>
            </w:tcBorders>
            <w:noWrap/>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0.870</w:t>
            </w:r>
          </w:p>
        </w:tc>
        <w:tc>
          <w:tcPr>
            <w:tcW w:w="1080" w:type="dxa"/>
            <w:tcBorders>
              <w:top w:val="nil"/>
              <w:left w:val="nil"/>
              <w:bottom w:val="single" w:sz="4" w:space="0" w:color="auto"/>
              <w:right w:val="single" w:sz="4" w:space="0" w:color="auto"/>
            </w:tcBorders>
            <w:noWrap/>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0.860</w:t>
            </w:r>
          </w:p>
        </w:tc>
        <w:tc>
          <w:tcPr>
            <w:tcW w:w="1080" w:type="dxa"/>
            <w:tcBorders>
              <w:top w:val="nil"/>
              <w:left w:val="nil"/>
              <w:bottom w:val="single" w:sz="4" w:space="0" w:color="auto"/>
              <w:right w:val="single" w:sz="4" w:space="0" w:color="auto"/>
            </w:tcBorders>
            <w:noWrap/>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1.110</w:t>
            </w:r>
          </w:p>
        </w:tc>
        <w:tc>
          <w:tcPr>
            <w:tcW w:w="1080" w:type="dxa"/>
            <w:tcBorders>
              <w:top w:val="nil"/>
              <w:left w:val="nil"/>
              <w:bottom w:val="single" w:sz="4" w:space="0" w:color="auto"/>
              <w:right w:val="single" w:sz="4" w:space="0" w:color="auto"/>
            </w:tcBorders>
            <w:noWrap/>
            <w:vAlign w:val="center"/>
            <w:hideMark/>
          </w:tcPr>
          <w:p w:rsidR="00DE2DDC" w:rsidRPr="00E522BD" w:rsidRDefault="00DE2DDC" w:rsidP="00581618">
            <w:pPr>
              <w:jc w:val="center"/>
              <w:rPr>
                <w:rFonts w:ascii="Tahoma" w:hAnsi="Tahoma" w:cs="Tahoma"/>
                <w:b/>
                <w:bCs/>
                <w:szCs w:val="22"/>
              </w:rPr>
            </w:pPr>
            <w:r w:rsidRPr="00E522BD">
              <w:rPr>
                <w:rFonts w:ascii="Tahoma" w:hAnsi="Tahoma" w:cs="Tahoma"/>
                <w:b/>
                <w:bCs/>
                <w:szCs w:val="22"/>
              </w:rPr>
              <w:t>0.890</w:t>
            </w:r>
          </w:p>
        </w:tc>
        <w:tc>
          <w:tcPr>
            <w:tcW w:w="1275" w:type="dxa"/>
            <w:tcBorders>
              <w:top w:val="single" w:sz="4" w:space="0" w:color="auto"/>
              <w:left w:val="nil"/>
              <w:bottom w:val="single" w:sz="4" w:space="0" w:color="auto"/>
              <w:right w:val="single" w:sz="4" w:space="0" w:color="auto"/>
            </w:tcBorders>
            <w:noWrap/>
            <w:vAlign w:val="bottom"/>
            <w:hideMark/>
          </w:tcPr>
          <w:p w:rsidR="00DE2DDC" w:rsidRPr="003600FD" w:rsidRDefault="00DE2DDC" w:rsidP="00581618">
            <w:pPr>
              <w:jc w:val="center"/>
              <w:rPr>
                <w:rFonts w:ascii="Tahoma" w:hAnsi="Tahoma" w:cs="Tahoma"/>
                <w:b/>
                <w:bCs/>
                <w:color w:val="000000"/>
                <w:szCs w:val="22"/>
              </w:rPr>
            </w:pPr>
            <w:r w:rsidRPr="003600FD">
              <w:rPr>
                <w:rFonts w:ascii="Tahoma" w:hAnsi="Tahoma" w:cs="Tahoma"/>
                <w:b/>
                <w:bCs/>
                <w:color w:val="000000"/>
                <w:szCs w:val="22"/>
              </w:rPr>
              <w:t xml:space="preserve">       0.89 </w:t>
            </w:r>
          </w:p>
        </w:tc>
      </w:tr>
    </w:tbl>
    <w:p w:rsidR="009847F2" w:rsidRPr="006E60EB" w:rsidRDefault="00EC33C8" w:rsidP="003D747C">
      <w:pPr>
        <w:spacing w:before="120" w:after="120"/>
        <w:jc w:val="both"/>
        <w:rPr>
          <w:rFonts w:ascii="Tahoma" w:hAnsi="Tahoma" w:cs="Tahoma"/>
          <w:i/>
          <w:iCs/>
          <w:sz w:val="20"/>
        </w:rPr>
      </w:pPr>
      <w:r w:rsidRPr="006E60EB">
        <w:rPr>
          <w:rFonts w:ascii="Tahoma" w:hAnsi="Tahoma" w:cs="Tahoma"/>
          <w:i/>
          <w:iCs/>
          <w:sz w:val="20"/>
        </w:rPr>
        <w:t>Sursa: Raport OAREC contabilitatea de reglementare în practică 2019, CMPC</w:t>
      </w:r>
    </w:p>
    <w:p w:rsidR="00A90F90" w:rsidRPr="006E60EB" w:rsidRDefault="00E43909" w:rsidP="00A90F90">
      <w:pPr>
        <w:pStyle w:val="Heading2"/>
        <w:ind w:firstLine="0"/>
        <w:rPr>
          <w:rFonts w:ascii="Tahoma" w:hAnsi="Tahoma" w:cs="Tahoma"/>
          <w:color w:val="auto"/>
          <w:sz w:val="22"/>
          <w:szCs w:val="22"/>
        </w:rPr>
      </w:pPr>
      <w:r w:rsidRPr="006E60EB">
        <w:rPr>
          <w:rFonts w:ascii="Tahoma" w:hAnsi="Tahoma" w:cs="Tahoma"/>
          <w:color w:val="auto"/>
          <w:sz w:val="22"/>
          <w:szCs w:val="22"/>
        </w:rPr>
        <w:t>P</w:t>
      </w:r>
      <w:r w:rsidR="00A90F90" w:rsidRPr="006E60EB">
        <w:rPr>
          <w:rFonts w:ascii="Tahoma" w:hAnsi="Tahoma" w:cs="Tahoma"/>
          <w:color w:val="auto"/>
          <w:sz w:val="22"/>
          <w:szCs w:val="22"/>
        </w:rPr>
        <w:t xml:space="preserve">rima de risc de capital </w:t>
      </w:r>
      <w:r w:rsidR="00B47196" w:rsidRPr="006E60EB">
        <w:rPr>
          <w:rFonts w:ascii="Tahoma" w:hAnsi="Tahoma" w:cs="Tahoma"/>
          <w:color w:val="auto"/>
          <w:sz w:val="22"/>
          <w:szCs w:val="22"/>
        </w:rPr>
        <w:t>(</w:t>
      </w:r>
      <m:oMath>
        <m:r>
          <m:rPr>
            <m:sty m:val="bi"/>
          </m:rPr>
          <w:rPr>
            <w:rFonts w:ascii="Cambria Math" w:hAnsi="Cambria Math" w:cs="Tahoma"/>
            <w:sz w:val="22"/>
            <w:szCs w:val="22"/>
          </w:rPr>
          <m:t>ERP</m:t>
        </m:r>
      </m:oMath>
      <w:r w:rsidR="00B47196" w:rsidRPr="006E60EB">
        <w:rPr>
          <w:rFonts w:ascii="Tahoma" w:hAnsi="Tahoma" w:cs="Tahoma"/>
          <w:sz w:val="22"/>
          <w:szCs w:val="22"/>
        </w:rPr>
        <w:t>)</w:t>
      </w:r>
    </w:p>
    <w:p w:rsidR="008C06DC" w:rsidRPr="006E60EB" w:rsidRDefault="008C06DC" w:rsidP="008C06DC">
      <w:pPr>
        <w:pStyle w:val="BodyText"/>
      </w:pPr>
    </w:p>
    <w:p w:rsidR="00F17F79" w:rsidRPr="006E60EB" w:rsidRDefault="00F17F79" w:rsidP="00F17F79">
      <w:pPr>
        <w:spacing w:before="120" w:after="120"/>
        <w:ind w:firstLine="720"/>
        <w:jc w:val="both"/>
        <w:rPr>
          <w:rFonts w:ascii="Tahoma" w:hAnsi="Tahoma" w:cs="Tahoma"/>
        </w:rPr>
      </w:pPr>
      <w:r w:rsidRPr="006E60EB">
        <w:rPr>
          <w:rFonts w:ascii="Tahoma" w:hAnsi="Tahoma" w:cs="Tahoma"/>
        </w:rPr>
        <w:t xml:space="preserve">Prima de risc de capital reprezintă randamentul obținut pentru investițiile în acțiuni listate, </w:t>
      </w:r>
      <w:r w:rsidR="00614133" w:rsidRPr="006E60EB">
        <w:rPr>
          <w:rFonts w:ascii="Tahoma" w:hAnsi="Tahoma" w:cs="Tahoma"/>
        </w:rPr>
        <w:t>în exces față</w:t>
      </w:r>
      <w:r w:rsidRPr="006E60EB">
        <w:rPr>
          <w:rFonts w:ascii="Tahoma" w:hAnsi="Tahoma" w:cs="Tahoma"/>
        </w:rPr>
        <w:t xml:space="preserve"> </w:t>
      </w:r>
      <w:r w:rsidR="00614133" w:rsidRPr="006E60EB">
        <w:rPr>
          <w:rFonts w:ascii="Tahoma" w:hAnsi="Tahoma" w:cs="Tahoma"/>
        </w:rPr>
        <w:t xml:space="preserve">de </w:t>
      </w:r>
      <w:r w:rsidRPr="006E60EB">
        <w:rPr>
          <w:rFonts w:ascii="Tahoma" w:hAnsi="Tahoma" w:cs="Tahoma"/>
        </w:rPr>
        <w:t xml:space="preserve">randamentul obținut pentru investițiile în active „lipsite de risc” (instrumente financiare cu venit fix de tipul obligațiunilor guvernamentale emise de guvernul statului în care operează </w:t>
      </w:r>
      <w:r w:rsidR="00F2552C" w:rsidRPr="006E60EB">
        <w:rPr>
          <w:rFonts w:ascii="Tahoma" w:hAnsi="Tahoma" w:cs="Tahoma"/>
        </w:rPr>
        <w:t>companiile reglementate</w:t>
      </w:r>
      <w:r w:rsidRPr="006E60EB">
        <w:rPr>
          <w:rFonts w:ascii="Tahoma" w:hAnsi="Tahoma" w:cs="Tahoma"/>
        </w:rPr>
        <w:t>)</w:t>
      </w:r>
      <w:r w:rsidR="00614133" w:rsidRPr="006E60EB">
        <w:rPr>
          <w:rFonts w:ascii="Tahoma" w:hAnsi="Tahoma" w:cs="Tahoma"/>
        </w:rPr>
        <w:t>, pentru a compensa investitorii pentru asumarea unor riscuri relativ mai mari ale investiției.</w:t>
      </w:r>
    </w:p>
    <w:p w:rsidR="00DE2DDC" w:rsidRPr="006E60EB" w:rsidRDefault="006E0E02" w:rsidP="007341BD">
      <w:pPr>
        <w:spacing w:before="120" w:after="120"/>
        <w:ind w:firstLine="720"/>
        <w:jc w:val="both"/>
        <w:rPr>
          <w:rFonts w:ascii="Tahoma" w:eastAsiaTheme="minorHAnsi" w:hAnsi="Tahoma" w:cs="Tahoma"/>
          <w:szCs w:val="22"/>
        </w:rPr>
      </w:pPr>
      <w:r w:rsidRPr="006E60EB">
        <w:rPr>
          <w:rFonts w:ascii="Tahoma" w:hAnsi="Tahoma" w:cs="Tahoma"/>
          <w:szCs w:val="22"/>
        </w:rPr>
        <w:t xml:space="preserve">Prima de risc de capital a fost estimată pe baza datelor disponibile pe pagina </w:t>
      </w:r>
      <w:hyperlink r:id="rId10" w:history="1">
        <w:r w:rsidRPr="003C3241">
          <w:rPr>
            <w:rStyle w:val="Hyperlink"/>
            <w:rFonts w:ascii="Tahoma" w:hAnsi="Tahoma" w:cs="Tahoma"/>
          </w:rPr>
          <w:t>http://pages.stern.nyu.edu/</w:t>
        </w:r>
      </w:hyperlink>
      <w:r w:rsidRPr="006E60EB">
        <w:rPr>
          <w:rFonts w:ascii="Tahoma" w:hAnsi="Tahoma" w:cs="Tahoma"/>
          <w:szCs w:val="22"/>
        </w:rPr>
        <w:t xml:space="preserve"> (Prof. Damodaran), care indică o primă de risc de </w:t>
      </w:r>
      <w:r w:rsidR="007341BD" w:rsidRPr="006E60EB">
        <w:rPr>
          <w:rFonts w:ascii="Tahoma" w:hAnsi="Tahoma" w:cs="Tahoma"/>
          <w:szCs w:val="22"/>
        </w:rPr>
        <w:t>capital</w:t>
      </w:r>
      <w:r w:rsidRPr="006E60EB">
        <w:rPr>
          <w:rFonts w:ascii="Tahoma" w:hAnsi="Tahoma" w:cs="Tahoma"/>
          <w:szCs w:val="22"/>
        </w:rPr>
        <w:t xml:space="preserve"> de 7,37% (ianuarie 2020).</w:t>
      </w:r>
    </w:p>
    <w:p w:rsidR="00C14508" w:rsidRPr="006E60EB" w:rsidRDefault="00C14508" w:rsidP="00C14508">
      <w:pPr>
        <w:pStyle w:val="Heading2"/>
        <w:ind w:firstLine="0"/>
        <w:rPr>
          <w:rFonts w:ascii="Tahoma" w:hAnsi="Tahoma" w:cs="Tahoma"/>
          <w:color w:val="auto"/>
          <w:sz w:val="22"/>
          <w:szCs w:val="22"/>
        </w:rPr>
      </w:pPr>
      <w:bookmarkStart w:id="10" w:name="_Toc462079454"/>
      <w:bookmarkStart w:id="11" w:name="_Toc462132558"/>
      <w:r w:rsidRPr="006E60EB">
        <w:rPr>
          <w:rFonts w:ascii="Tahoma" w:hAnsi="Tahoma" w:cs="Tahoma"/>
          <w:color w:val="auto"/>
          <w:sz w:val="22"/>
          <w:szCs w:val="22"/>
        </w:rPr>
        <w:t>Costul capitalu</w:t>
      </w:r>
      <w:r w:rsidR="00903A78" w:rsidRPr="006E60EB">
        <w:rPr>
          <w:rFonts w:ascii="Tahoma" w:hAnsi="Tahoma" w:cs="Tahoma"/>
          <w:color w:val="auto"/>
          <w:sz w:val="22"/>
          <w:szCs w:val="22"/>
        </w:rPr>
        <w:t>rilor</w:t>
      </w:r>
      <w:bookmarkEnd w:id="10"/>
      <w:bookmarkEnd w:id="11"/>
      <w:r w:rsidRPr="006E60EB">
        <w:rPr>
          <w:rFonts w:ascii="Tahoma" w:hAnsi="Tahoma" w:cs="Tahoma"/>
          <w:color w:val="auto"/>
          <w:sz w:val="22"/>
          <w:szCs w:val="22"/>
        </w:rPr>
        <w:t xml:space="preserve"> propri</w:t>
      </w:r>
      <w:r w:rsidR="00903A78" w:rsidRPr="006E60EB">
        <w:rPr>
          <w:rFonts w:ascii="Tahoma" w:hAnsi="Tahoma" w:cs="Tahoma"/>
          <w:color w:val="auto"/>
          <w:sz w:val="22"/>
          <w:szCs w:val="22"/>
        </w:rPr>
        <w:t>i</w:t>
      </w:r>
      <w:r w:rsidR="00690BD8" w:rsidRPr="006E60EB">
        <w:rPr>
          <w:rFonts w:ascii="Tahoma" w:hAnsi="Tahoma" w:cs="Tahoma"/>
          <w:color w:val="auto"/>
          <w:sz w:val="22"/>
          <w:szCs w:val="22"/>
        </w:rPr>
        <w:t xml:space="preserve"> </w:t>
      </w:r>
      <w:r w:rsidR="00A41EC6" w:rsidRPr="006E60EB">
        <w:rPr>
          <w:rFonts w:ascii="Tahoma" w:hAnsi="Tahoma" w:cs="Tahoma"/>
          <w:color w:val="auto"/>
          <w:sz w:val="22"/>
          <w:szCs w:val="22"/>
        </w:rPr>
        <w:t>(</w:t>
      </w:r>
      <m:oMath>
        <m:sSub>
          <m:sSubPr>
            <m:ctrlPr>
              <w:rPr>
                <w:rFonts w:ascii="Cambria Math" w:hAnsi="Cambria Math" w:cs="Tahoma"/>
                <w:i/>
                <w:szCs w:val="22"/>
              </w:rPr>
            </m:ctrlPr>
          </m:sSubPr>
          <m:e>
            <m:r>
              <m:rPr>
                <m:sty m:val="bi"/>
              </m:rPr>
              <w:rPr>
                <w:rFonts w:ascii="Cambria Math" w:hAnsi="Cambria Math" w:cs="Tahoma"/>
                <w:szCs w:val="22"/>
              </w:rPr>
              <m:t>k</m:t>
            </m:r>
          </m:e>
          <m:sub>
            <m:r>
              <m:rPr>
                <m:sty m:val="bi"/>
              </m:rPr>
              <w:rPr>
                <w:rFonts w:ascii="Cambria Math" w:hAnsi="Cambria Math" w:cs="Tahoma"/>
                <w:szCs w:val="22"/>
              </w:rPr>
              <m:t>E</m:t>
            </m:r>
          </m:sub>
        </m:sSub>
      </m:oMath>
      <w:r w:rsidR="00A41EC6" w:rsidRPr="006E60EB">
        <w:rPr>
          <w:rFonts w:ascii="Tahoma" w:hAnsi="Tahoma" w:cs="Tahoma"/>
          <w:sz w:val="22"/>
          <w:szCs w:val="22"/>
        </w:rPr>
        <w:t>)</w:t>
      </w:r>
    </w:p>
    <w:p w:rsidR="00C14508" w:rsidRPr="006E60EB" w:rsidRDefault="00C14508" w:rsidP="00854C8A">
      <w:pPr>
        <w:spacing w:before="120" w:after="120"/>
        <w:ind w:firstLine="720"/>
        <w:jc w:val="both"/>
        <w:rPr>
          <w:rFonts w:ascii="Tahoma" w:hAnsi="Tahoma" w:cs="Tahoma"/>
          <w:szCs w:val="22"/>
        </w:rPr>
      </w:pPr>
      <w:r w:rsidRPr="006E60EB">
        <w:rPr>
          <w:rFonts w:ascii="Tahoma" w:hAnsi="Tahoma" w:cs="Tahoma"/>
          <w:szCs w:val="22"/>
        </w:rPr>
        <w:t>Pe baza metodologiei prezentate anterior, estimarea costului capitalului propriu (k</w:t>
      </w:r>
      <w:r w:rsidRPr="006E60EB">
        <w:rPr>
          <w:rFonts w:ascii="Tahoma" w:hAnsi="Tahoma" w:cs="Tahoma"/>
          <w:szCs w:val="22"/>
          <w:vertAlign w:val="subscript"/>
        </w:rPr>
        <w:t>E</w:t>
      </w:r>
      <w:r w:rsidRPr="006E60EB">
        <w:rPr>
          <w:rFonts w:ascii="Tahoma" w:hAnsi="Tahoma" w:cs="Tahoma"/>
          <w:szCs w:val="22"/>
        </w:rPr>
        <w:t xml:space="preserve">) este prezentată în </w:t>
      </w:r>
      <w:r w:rsidR="00AD50B2" w:rsidRPr="006E60EB">
        <w:rPr>
          <w:rFonts w:ascii="Tahoma" w:hAnsi="Tahoma" w:cs="Tahoma"/>
          <w:szCs w:val="22"/>
        </w:rPr>
        <w:t>tabelul următor:</w:t>
      </w:r>
    </w:p>
    <w:tbl>
      <w:tblPr>
        <w:tblW w:w="4183" w:type="dxa"/>
        <w:tblLook w:val="04A0" w:firstRow="1" w:lastRow="0" w:firstColumn="1" w:lastColumn="0" w:noHBand="0" w:noVBand="1"/>
      </w:tblPr>
      <w:tblGrid>
        <w:gridCol w:w="3325"/>
        <w:gridCol w:w="858"/>
      </w:tblGrid>
      <w:tr w:rsidR="00DE65AE" w:rsidRPr="00DE65AE" w:rsidTr="0033272E">
        <w:trPr>
          <w:trHeight w:val="288"/>
        </w:trPr>
        <w:tc>
          <w:tcPr>
            <w:tcW w:w="33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E65AE" w:rsidRPr="00DE65AE" w:rsidRDefault="00DE65AE" w:rsidP="00DE65AE">
            <w:pPr>
              <w:rPr>
                <w:rFonts w:ascii="Tahoma" w:hAnsi="Tahoma" w:cs="Tahoma"/>
                <w:color w:val="000000"/>
                <w:szCs w:val="22"/>
              </w:rPr>
            </w:pPr>
            <w:r w:rsidRPr="00DE65AE">
              <w:rPr>
                <w:rFonts w:ascii="Tahoma" w:hAnsi="Tahoma" w:cs="Tahoma"/>
                <w:color w:val="000000"/>
                <w:szCs w:val="22"/>
              </w:rPr>
              <w:t>Rata dob</w:t>
            </w:r>
            <w:r w:rsidR="00292AF8" w:rsidRPr="006E60EB">
              <w:rPr>
                <w:rFonts w:ascii="Tahoma" w:hAnsi="Tahoma" w:cs="Tahoma"/>
                <w:color w:val="000000"/>
                <w:szCs w:val="22"/>
              </w:rPr>
              <w:t>â</w:t>
            </w:r>
            <w:r w:rsidRPr="00DE65AE">
              <w:rPr>
                <w:rFonts w:ascii="Tahoma" w:hAnsi="Tahoma" w:cs="Tahoma"/>
                <w:color w:val="000000"/>
                <w:szCs w:val="22"/>
              </w:rPr>
              <w:t>nzii f</w:t>
            </w:r>
            <w:r w:rsidR="00292AF8" w:rsidRPr="006E60EB">
              <w:rPr>
                <w:rFonts w:ascii="Tahoma" w:hAnsi="Tahoma" w:cs="Tahoma"/>
                <w:color w:val="000000"/>
                <w:szCs w:val="22"/>
              </w:rPr>
              <w:t>ă</w:t>
            </w:r>
            <w:r w:rsidRPr="00DE65AE">
              <w:rPr>
                <w:rFonts w:ascii="Tahoma" w:hAnsi="Tahoma" w:cs="Tahoma"/>
                <w:color w:val="000000"/>
                <w:szCs w:val="22"/>
              </w:rPr>
              <w:t>r</w:t>
            </w:r>
            <w:r w:rsidR="00292AF8" w:rsidRPr="006E60EB">
              <w:rPr>
                <w:rFonts w:ascii="Tahoma" w:hAnsi="Tahoma" w:cs="Tahoma"/>
                <w:color w:val="000000"/>
                <w:szCs w:val="22"/>
              </w:rPr>
              <w:t>ă</w:t>
            </w:r>
            <w:r w:rsidRPr="00DE65AE">
              <w:rPr>
                <w:rFonts w:ascii="Tahoma" w:hAnsi="Tahoma" w:cs="Tahoma"/>
                <w:color w:val="000000"/>
                <w:szCs w:val="22"/>
              </w:rPr>
              <w:t xml:space="preserve"> risc (R</w:t>
            </w:r>
            <w:r w:rsidRPr="00DE65AE">
              <w:rPr>
                <w:rFonts w:ascii="Tahoma" w:hAnsi="Tahoma" w:cs="Tahoma"/>
                <w:color w:val="000000"/>
                <w:szCs w:val="22"/>
                <w:vertAlign w:val="subscript"/>
              </w:rPr>
              <w:t>f</w:t>
            </w:r>
            <w:r w:rsidRPr="00DE65AE">
              <w:rPr>
                <w:rFonts w:ascii="Tahoma" w:hAnsi="Tahoma" w:cs="Tahoma"/>
                <w:color w:val="000000"/>
                <w:szCs w:val="22"/>
              </w:rPr>
              <w:t>)</w:t>
            </w:r>
          </w:p>
        </w:tc>
        <w:tc>
          <w:tcPr>
            <w:tcW w:w="858" w:type="dxa"/>
            <w:tcBorders>
              <w:top w:val="single" w:sz="4" w:space="0" w:color="auto"/>
              <w:left w:val="nil"/>
              <w:bottom w:val="single" w:sz="4" w:space="0" w:color="auto"/>
              <w:right w:val="single" w:sz="4" w:space="0" w:color="auto"/>
            </w:tcBorders>
            <w:shd w:val="clear" w:color="000000" w:fill="FFFFFF"/>
            <w:noWrap/>
            <w:vAlign w:val="bottom"/>
            <w:hideMark/>
          </w:tcPr>
          <w:p w:rsidR="00DE65AE" w:rsidRPr="00DE65AE" w:rsidRDefault="00DE65AE" w:rsidP="00DE65AE">
            <w:pPr>
              <w:jc w:val="right"/>
              <w:rPr>
                <w:rFonts w:ascii="Tahoma" w:hAnsi="Tahoma" w:cs="Tahoma"/>
                <w:color w:val="000000"/>
                <w:szCs w:val="22"/>
              </w:rPr>
            </w:pPr>
            <w:r w:rsidRPr="00DE65AE">
              <w:rPr>
                <w:rFonts w:ascii="Tahoma" w:hAnsi="Tahoma" w:cs="Tahoma"/>
                <w:color w:val="000000"/>
                <w:szCs w:val="22"/>
              </w:rPr>
              <w:t>2</w:t>
            </w:r>
            <w:r w:rsidR="00292AF8" w:rsidRPr="006E60EB">
              <w:rPr>
                <w:rFonts w:ascii="Tahoma" w:hAnsi="Tahoma" w:cs="Tahoma"/>
                <w:color w:val="000000"/>
                <w:szCs w:val="22"/>
              </w:rPr>
              <w:t>,</w:t>
            </w:r>
            <w:r w:rsidRPr="00DE65AE">
              <w:rPr>
                <w:rFonts w:ascii="Tahoma" w:hAnsi="Tahoma" w:cs="Tahoma"/>
                <w:color w:val="000000"/>
                <w:szCs w:val="22"/>
              </w:rPr>
              <w:t>4</w:t>
            </w:r>
            <w:r w:rsidR="003600FD">
              <w:rPr>
                <w:rFonts w:ascii="Tahoma" w:hAnsi="Tahoma" w:cs="Tahoma"/>
                <w:color w:val="000000"/>
                <w:szCs w:val="22"/>
              </w:rPr>
              <w:t>8</w:t>
            </w:r>
            <w:r w:rsidRPr="00DE65AE">
              <w:rPr>
                <w:rFonts w:ascii="Tahoma" w:hAnsi="Tahoma" w:cs="Tahoma"/>
                <w:color w:val="000000"/>
                <w:szCs w:val="22"/>
              </w:rPr>
              <w:t>%</w:t>
            </w:r>
          </w:p>
        </w:tc>
      </w:tr>
      <w:tr w:rsidR="00DE65AE" w:rsidRPr="00DE65AE" w:rsidTr="0033272E">
        <w:trPr>
          <w:trHeight w:val="288"/>
        </w:trPr>
        <w:tc>
          <w:tcPr>
            <w:tcW w:w="3325" w:type="dxa"/>
            <w:tcBorders>
              <w:top w:val="nil"/>
              <w:left w:val="single" w:sz="4" w:space="0" w:color="auto"/>
              <w:bottom w:val="single" w:sz="4" w:space="0" w:color="auto"/>
              <w:right w:val="single" w:sz="4" w:space="0" w:color="auto"/>
            </w:tcBorders>
            <w:shd w:val="clear" w:color="000000" w:fill="FFFFFF"/>
            <w:noWrap/>
            <w:vAlign w:val="bottom"/>
            <w:hideMark/>
          </w:tcPr>
          <w:p w:rsidR="00DE65AE" w:rsidRPr="00DE65AE" w:rsidRDefault="00DE65AE" w:rsidP="00DE65AE">
            <w:pPr>
              <w:rPr>
                <w:rFonts w:ascii="Tahoma" w:hAnsi="Tahoma" w:cs="Tahoma"/>
                <w:color w:val="000000"/>
                <w:szCs w:val="22"/>
              </w:rPr>
            </w:pPr>
            <w:r w:rsidRPr="00DE65AE">
              <w:rPr>
                <w:rFonts w:ascii="Tahoma" w:hAnsi="Tahoma" w:cs="Tahoma"/>
                <w:color w:val="000000"/>
                <w:szCs w:val="22"/>
              </w:rPr>
              <w:t>Beta (β)</w:t>
            </w:r>
          </w:p>
        </w:tc>
        <w:tc>
          <w:tcPr>
            <w:tcW w:w="858" w:type="dxa"/>
            <w:tcBorders>
              <w:top w:val="nil"/>
              <w:left w:val="nil"/>
              <w:bottom w:val="single" w:sz="4" w:space="0" w:color="auto"/>
              <w:right w:val="single" w:sz="4" w:space="0" w:color="auto"/>
            </w:tcBorders>
            <w:shd w:val="clear" w:color="000000" w:fill="FFFFFF"/>
            <w:noWrap/>
            <w:vAlign w:val="bottom"/>
            <w:hideMark/>
          </w:tcPr>
          <w:p w:rsidR="00DE65AE" w:rsidRPr="00DE65AE" w:rsidRDefault="00DE65AE" w:rsidP="00DE65AE">
            <w:pPr>
              <w:jc w:val="right"/>
              <w:rPr>
                <w:rFonts w:ascii="Tahoma" w:hAnsi="Tahoma" w:cs="Tahoma"/>
                <w:color w:val="000000"/>
                <w:szCs w:val="22"/>
              </w:rPr>
            </w:pPr>
            <w:r w:rsidRPr="00DE65AE">
              <w:rPr>
                <w:rFonts w:ascii="Tahoma" w:hAnsi="Tahoma" w:cs="Tahoma"/>
                <w:color w:val="000000"/>
                <w:szCs w:val="22"/>
              </w:rPr>
              <w:t>0</w:t>
            </w:r>
            <w:r w:rsidR="00292AF8" w:rsidRPr="006E60EB">
              <w:rPr>
                <w:rFonts w:ascii="Tahoma" w:hAnsi="Tahoma" w:cs="Tahoma"/>
                <w:color w:val="000000"/>
                <w:szCs w:val="22"/>
              </w:rPr>
              <w:t>,</w:t>
            </w:r>
            <w:r w:rsidRPr="00DE65AE">
              <w:rPr>
                <w:rFonts w:ascii="Tahoma" w:hAnsi="Tahoma" w:cs="Tahoma"/>
                <w:color w:val="000000"/>
                <w:szCs w:val="22"/>
              </w:rPr>
              <w:t>89</w:t>
            </w:r>
          </w:p>
        </w:tc>
      </w:tr>
      <w:tr w:rsidR="00DE65AE" w:rsidRPr="00DE65AE" w:rsidTr="0033272E">
        <w:trPr>
          <w:trHeight w:val="288"/>
        </w:trPr>
        <w:tc>
          <w:tcPr>
            <w:tcW w:w="3325" w:type="dxa"/>
            <w:tcBorders>
              <w:top w:val="nil"/>
              <w:left w:val="single" w:sz="4" w:space="0" w:color="auto"/>
              <w:bottom w:val="single" w:sz="4" w:space="0" w:color="auto"/>
              <w:right w:val="single" w:sz="4" w:space="0" w:color="auto"/>
            </w:tcBorders>
            <w:shd w:val="clear" w:color="000000" w:fill="FFFFFF"/>
            <w:noWrap/>
            <w:vAlign w:val="bottom"/>
            <w:hideMark/>
          </w:tcPr>
          <w:p w:rsidR="00DE65AE" w:rsidRPr="00DE65AE" w:rsidRDefault="00DE65AE" w:rsidP="00DE65AE">
            <w:pPr>
              <w:rPr>
                <w:rFonts w:ascii="Tahoma" w:hAnsi="Tahoma" w:cs="Tahoma"/>
                <w:color w:val="000000"/>
                <w:szCs w:val="22"/>
              </w:rPr>
            </w:pPr>
            <w:r w:rsidRPr="00DE65AE">
              <w:rPr>
                <w:rFonts w:ascii="Tahoma" w:hAnsi="Tahoma" w:cs="Tahoma"/>
                <w:color w:val="000000"/>
                <w:szCs w:val="22"/>
              </w:rPr>
              <w:t>Prima de risc de capital (ERP)</w:t>
            </w:r>
          </w:p>
        </w:tc>
        <w:tc>
          <w:tcPr>
            <w:tcW w:w="858" w:type="dxa"/>
            <w:tcBorders>
              <w:top w:val="nil"/>
              <w:left w:val="nil"/>
              <w:bottom w:val="single" w:sz="4" w:space="0" w:color="auto"/>
              <w:right w:val="single" w:sz="4" w:space="0" w:color="auto"/>
            </w:tcBorders>
            <w:shd w:val="clear" w:color="000000" w:fill="FFFFFF"/>
            <w:noWrap/>
            <w:vAlign w:val="bottom"/>
            <w:hideMark/>
          </w:tcPr>
          <w:p w:rsidR="00DE65AE" w:rsidRPr="00DE65AE" w:rsidRDefault="00DE65AE" w:rsidP="00DE65AE">
            <w:pPr>
              <w:jc w:val="right"/>
              <w:rPr>
                <w:rFonts w:ascii="Tahoma" w:hAnsi="Tahoma" w:cs="Tahoma"/>
                <w:color w:val="000000"/>
                <w:szCs w:val="22"/>
              </w:rPr>
            </w:pPr>
            <w:r w:rsidRPr="00DE65AE">
              <w:rPr>
                <w:rFonts w:ascii="Tahoma" w:hAnsi="Tahoma" w:cs="Tahoma"/>
                <w:color w:val="000000"/>
                <w:szCs w:val="22"/>
              </w:rPr>
              <w:t>7</w:t>
            </w:r>
            <w:r w:rsidR="00292AF8" w:rsidRPr="006E60EB">
              <w:rPr>
                <w:rFonts w:ascii="Tahoma" w:hAnsi="Tahoma" w:cs="Tahoma"/>
                <w:color w:val="000000"/>
                <w:szCs w:val="22"/>
              </w:rPr>
              <w:t>,</w:t>
            </w:r>
            <w:r w:rsidRPr="00DE65AE">
              <w:rPr>
                <w:rFonts w:ascii="Tahoma" w:hAnsi="Tahoma" w:cs="Tahoma"/>
                <w:color w:val="000000"/>
                <w:szCs w:val="22"/>
              </w:rPr>
              <w:t>37%</w:t>
            </w:r>
          </w:p>
        </w:tc>
      </w:tr>
      <w:tr w:rsidR="00DE65AE" w:rsidRPr="00DE65AE" w:rsidTr="0033272E">
        <w:trPr>
          <w:trHeight w:val="288"/>
        </w:trPr>
        <w:tc>
          <w:tcPr>
            <w:tcW w:w="3325" w:type="dxa"/>
            <w:tcBorders>
              <w:top w:val="nil"/>
              <w:left w:val="single" w:sz="4" w:space="0" w:color="auto"/>
              <w:bottom w:val="single" w:sz="4" w:space="0" w:color="auto"/>
              <w:right w:val="single" w:sz="4" w:space="0" w:color="auto"/>
            </w:tcBorders>
            <w:shd w:val="clear" w:color="000000" w:fill="FFFFFF"/>
            <w:noWrap/>
            <w:vAlign w:val="bottom"/>
            <w:hideMark/>
          </w:tcPr>
          <w:p w:rsidR="00DE65AE" w:rsidRPr="00DE65AE" w:rsidRDefault="00DE65AE" w:rsidP="00DE65AE">
            <w:pPr>
              <w:rPr>
                <w:rFonts w:ascii="Tahoma" w:hAnsi="Tahoma" w:cs="Tahoma"/>
                <w:color w:val="000000"/>
                <w:szCs w:val="22"/>
              </w:rPr>
            </w:pPr>
            <w:r w:rsidRPr="00DE65AE">
              <w:rPr>
                <w:rFonts w:ascii="Tahoma" w:hAnsi="Tahoma" w:cs="Tahoma"/>
                <w:color w:val="000000"/>
                <w:szCs w:val="22"/>
              </w:rPr>
              <w:t>Costul capitalurilor proprii (</w:t>
            </w:r>
            <w:r w:rsidR="00292AF8" w:rsidRPr="006E60EB">
              <w:rPr>
                <w:rFonts w:ascii="Tahoma" w:hAnsi="Tahoma" w:cs="Tahoma"/>
                <w:color w:val="000000"/>
                <w:szCs w:val="22"/>
              </w:rPr>
              <w:t>k</w:t>
            </w:r>
            <w:r w:rsidRPr="00DE65AE">
              <w:rPr>
                <w:rFonts w:ascii="Tahoma" w:hAnsi="Tahoma" w:cs="Tahoma"/>
                <w:color w:val="000000"/>
                <w:szCs w:val="22"/>
                <w:vertAlign w:val="subscript"/>
              </w:rPr>
              <w:t>E</w:t>
            </w:r>
            <w:r w:rsidRPr="00DE65AE">
              <w:rPr>
                <w:rFonts w:ascii="Tahoma" w:hAnsi="Tahoma" w:cs="Tahoma"/>
                <w:color w:val="000000"/>
                <w:szCs w:val="22"/>
              </w:rPr>
              <w:t>)</w:t>
            </w:r>
          </w:p>
        </w:tc>
        <w:tc>
          <w:tcPr>
            <w:tcW w:w="858" w:type="dxa"/>
            <w:tcBorders>
              <w:top w:val="nil"/>
              <w:left w:val="nil"/>
              <w:bottom w:val="single" w:sz="4" w:space="0" w:color="auto"/>
              <w:right w:val="single" w:sz="4" w:space="0" w:color="auto"/>
            </w:tcBorders>
            <w:shd w:val="clear" w:color="000000" w:fill="FFFFFF"/>
            <w:noWrap/>
            <w:vAlign w:val="bottom"/>
            <w:hideMark/>
          </w:tcPr>
          <w:p w:rsidR="00DE65AE" w:rsidRPr="00DE65AE" w:rsidRDefault="00987575" w:rsidP="00DE65AE">
            <w:pPr>
              <w:jc w:val="right"/>
              <w:rPr>
                <w:rFonts w:ascii="Tahoma" w:hAnsi="Tahoma" w:cs="Tahoma"/>
                <w:color w:val="000000"/>
                <w:szCs w:val="22"/>
              </w:rPr>
            </w:pPr>
            <w:r>
              <w:rPr>
                <w:rFonts w:ascii="Tahoma" w:hAnsi="Tahoma" w:cs="Tahoma"/>
                <w:color w:val="000000"/>
                <w:szCs w:val="22"/>
              </w:rPr>
              <w:t>9</w:t>
            </w:r>
            <w:r w:rsidR="00292AF8" w:rsidRPr="006E60EB">
              <w:rPr>
                <w:rFonts w:ascii="Tahoma" w:hAnsi="Tahoma" w:cs="Tahoma"/>
                <w:color w:val="000000"/>
                <w:szCs w:val="22"/>
              </w:rPr>
              <w:t>,</w:t>
            </w:r>
            <w:r>
              <w:rPr>
                <w:rFonts w:ascii="Tahoma" w:hAnsi="Tahoma" w:cs="Tahoma"/>
                <w:color w:val="000000"/>
                <w:szCs w:val="22"/>
              </w:rPr>
              <w:t>04</w:t>
            </w:r>
            <w:r w:rsidR="00DE65AE" w:rsidRPr="00DE65AE">
              <w:rPr>
                <w:rFonts w:ascii="Tahoma" w:hAnsi="Tahoma" w:cs="Tahoma"/>
                <w:color w:val="000000"/>
                <w:szCs w:val="22"/>
              </w:rPr>
              <w:t>%</w:t>
            </w:r>
          </w:p>
        </w:tc>
      </w:tr>
    </w:tbl>
    <w:p w:rsidR="00C14508" w:rsidRPr="006E60EB" w:rsidRDefault="00C14508" w:rsidP="00C14508">
      <w:pPr>
        <w:pStyle w:val="Heading2"/>
        <w:ind w:firstLine="0"/>
        <w:rPr>
          <w:rFonts w:ascii="Tahoma" w:hAnsi="Tahoma" w:cs="Tahoma"/>
          <w:color w:val="auto"/>
          <w:sz w:val="22"/>
          <w:szCs w:val="22"/>
        </w:rPr>
      </w:pPr>
      <w:bookmarkStart w:id="12" w:name="_Toc462079445"/>
      <w:bookmarkStart w:id="13" w:name="_Toc462132549"/>
      <w:r w:rsidRPr="006E60EB">
        <w:rPr>
          <w:rFonts w:ascii="Tahoma" w:hAnsi="Tahoma" w:cs="Tahoma"/>
          <w:color w:val="auto"/>
          <w:sz w:val="22"/>
          <w:szCs w:val="22"/>
        </w:rPr>
        <w:t>Rata impozitului pe profit</w:t>
      </w:r>
      <w:bookmarkEnd w:id="12"/>
      <w:bookmarkEnd w:id="13"/>
      <w:r w:rsidR="00EA5E4F" w:rsidRPr="006E60EB">
        <w:rPr>
          <w:rFonts w:ascii="Tahoma" w:hAnsi="Tahoma" w:cs="Tahoma"/>
          <w:color w:val="auto"/>
          <w:sz w:val="22"/>
          <w:szCs w:val="22"/>
        </w:rPr>
        <w:t xml:space="preserve"> (</w:t>
      </w:r>
      <m:oMath>
        <m:r>
          <m:rPr>
            <m:sty m:val="bi"/>
          </m:rPr>
          <w:rPr>
            <w:rFonts w:ascii="Cambria Math" w:hAnsi="Cambria Math" w:cs="Tahoma"/>
            <w:szCs w:val="22"/>
          </w:rPr>
          <m:t>t</m:t>
        </m:r>
      </m:oMath>
      <w:r w:rsidR="00EA5E4F" w:rsidRPr="006E60EB">
        <w:rPr>
          <w:rFonts w:ascii="Tahoma" w:hAnsi="Tahoma" w:cs="Tahoma"/>
          <w:color w:val="auto"/>
          <w:sz w:val="22"/>
          <w:szCs w:val="22"/>
        </w:rPr>
        <w:t>)</w:t>
      </w:r>
    </w:p>
    <w:p w:rsidR="00C14508" w:rsidRPr="006E60EB" w:rsidRDefault="00C14508" w:rsidP="00150099">
      <w:pPr>
        <w:spacing w:before="120" w:after="120"/>
        <w:ind w:firstLine="720"/>
        <w:jc w:val="both"/>
        <w:rPr>
          <w:rFonts w:ascii="Tahoma" w:hAnsi="Tahoma" w:cs="Tahoma"/>
          <w:szCs w:val="22"/>
        </w:rPr>
      </w:pPr>
      <w:r w:rsidRPr="006E60EB">
        <w:rPr>
          <w:rFonts w:ascii="Tahoma" w:hAnsi="Tahoma" w:cs="Tahoma"/>
          <w:szCs w:val="22"/>
        </w:rPr>
        <w:t>Rata impozitului pe profit utilizată în calculul costului capitalurilor proprii este rata statutară a impozitului pe profit aplicabilă societăților din România (16%).</w:t>
      </w:r>
    </w:p>
    <w:p w:rsidR="004507AA" w:rsidRPr="006E60EB" w:rsidRDefault="0025554C" w:rsidP="004507AA">
      <w:pPr>
        <w:pStyle w:val="Heading2"/>
        <w:ind w:firstLine="0"/>
        <w:rPr>
          <w:rFonts w:ascii="Tahoma" w:hAnsi="Tahoma" w:cs="Tahoma"/>
          <w:color w:val="auto"/>
          <w:sz w:val="22"/>
          <w:szCs w:val="22"/>
        </w:rPr>
      </w:pPr>
      <w:r w:rsidRPr="006E60EB">
        <w:rPr>
          <w:rFonts w:ascii="Tahoma" w:hAnsi="Tahoma" w:cs="Tahoma"/>
          <w:color w:val="auto"/>
          <w:sz w:val="22"/>
          <w:szCs w:val="22"/>
        </w:rPr>
        <w:t>G</w:t>
      </w:r>
      <w:r w:rsidR="004507AA" w:rsidRPr="006E60EB">
        <w:rPr>
          <w:rFonts w:ascii="Tahoma" w:hAnsi="Tahoma" w:cs="Tahoma"/>
          <w:color w:val="auto"/>
          <w:sz w:val="22"/>
          <w:szCs w:val="22"/>
        </w:rPr>
        <w:t>radul de îndatorare (</w:t>
      </w:r>
      <m:oMath>
        <m:r>
          <m:rPr>
            <m:sty m:val="bi"/>
          </m:rPr>
          <w:rPr>
            <w:rFonts w:ascii="Cambria Math" w:hAnsi="Cambria Math" w:cs="Tahoma"/>
            <w:szCs w:val="22"/>
          </w:rPr>
          <m:t>G</m:t>
        </m:r>
      </m:oMath>
      <w:r w:rsidR="004507AA" w:rsidRPr="006E60EB">
        <w:rPr>
          <w:rFonts w:ascii="Tahoma" w:hAnsi="Tahoma" w:cs="Tahoma"/>
          <w:color w:val="auto"/>
          <w:sz w:val="22"/>
          <w:szCs w:val="22"/>
        </w:rPr>
        <w:t>)</w:t>
      </w:r>
    </w:p>
    <w:p w:rsidR="004507AA" w:rsidRPr="006E60EB" w:rsidRDefault="004507AA">
      <w:pPr>
        <w:rPr>
          <w:rFonts w:ascii="Tahoma" w:hAnsi="Tahoma" w:cs="Tahoma"/>
          <w:szCs w:val="22"/>
        </w:rPr>
      </w:pPr>
    </w:p>
    <w:p w:rsidR="008F2981" w:rsidRPr="006E60EB" w:rsidRDefault="00854C8A" w:rsidP="008F2981">
      <w:pPr>
        <w:ind w:firstLine="720"/>
        <w:jc w:val="both"/>
        <w:rPr>
          <w:rFonts w:ascii="Tahoma" w:hAnsi="Tahoma" w:cs="Tahoma"/>
          <w:szCs w:val="22"/>
        </w:rPr>
      </w:pPr>
      <w:r w:rsidRPr="006E60EB">
        <w:rPr>
          <w:rFonts w:ascii="Tahoma" w:hAnsi="Tahoma" w:cs="Tahoma"/>
          <w:szCs w:val="22"/>
        </w:rPr>
        <w:t>Gradul de îndatorare măsoară ponderea datoriilor în valoarea companiei</w:t>
      </w:r>
      <w:r w:rsidR="005B0B16" w:rsidRPr="006E60EB">
        <w:rPr>
          <w:rFonts w:ascii="Tahoma" w:hAnsi="Tahoma" w:cs="Tahoma"/>
          <w:szCs w:val="22"/>
        </w:rPr>
        <w:t xml:space="preserve">. Întrucât nu sunt disponibile date publice pentru a </w:t>
      </w:r>
      <w:r w:rsidR="008F2981" w:rsidRPr="006E60EB">
        <w:rPr>
          <w:rFonts w:ascii="Tahoma" w:hAnsi="Tahoma" w:cs="Tahoma"/>
          <w:szCs w:val="22"/>
        </w:rPr>
        <w:t xml:space="preserve">determina acest parametru specific sectorului, a fost estimat pe baza mediei gradului de îndatorare pentru statele membre din zona non-euro (Bulgaria, Cehia, Croația, Ungaria, Polonia, Suedia), astfel cum sunt publicate în raportul OAREC “Contabilitatea de reglementare în practică 2019”, capitolul “CMPC”. </w:t>
      </w:r>
    </w:p>
    <w:p w:rsidR="00854C8A" w:rsidRPr="006E60EB" w:rsidRDefault="00854C8A" w:rsidP="00854C8A">
      <w:pPr>
        <w:ind w:firstLine="720"/>
        <w:rPr>
          <w:rFonts w:ascii="Tahoma" w:hAnsi="Tahoma" w:cs="Tahoma"/>
          <w:szCs w:val="22"/>
        </w:rPr>
      </w:pPr>
    </w:p>
    <w:tbl>
      <w:tblPr>
        <w:tblW w:w="9535" w:type="dxa"/>
        <w:tblLook w:val="04A0" w:firstRow="1" w:lastRow="0" w:firstColumn="1" w:lastColumn="0" w:noHBand="0" w:noVBand="1"/>
      </w:tblPr>
      <w:tblGrid>
        <w:gridCol w:w="2245"/>
        <w:gridCol w:w="990"/>
        <w:gridCol w:w="1170"/>
        <w:gridCol w:w="990"/>
        <w:gridCol w:w="1080"/>
        <w:gridCol w:w="990"/>
        <w:gridCol w:w="990"/>
        <w:gridCol w:w="1109"/>
      </w:tblGrid>
      <w:tr w:rsidR="00543131" w:rsidRPr="00543131" w:rsidTr="00E522BD">
        <w:trPr>
          <w:trHeight w:val="288"/>
        </w:trPr>
        <w:tc>
          <w:tcPr>
            <w:tcW w:w="2245" w:type="dxa"/>
            <w:vMerge w:val="restart"/>
            <w:tcBorders>
              <w:top w:val="single" w:sz="4" w:space="0" w:color="auto"/>
              <w:left w:val="single" w:sz="4" w:space="0" w:color="auto"/>
              <w:right w:val="single" w:sz="4" w:space="0" w:color="auto"/>
            </w:tcBorders>
            <w:noWrap/>
            <w:vAlign w:val="bottom"/>
            <w:hideMark/>
          </w:tcPr>
          <w:p w:rsidR="008F2981" w:rsidRPr="008F2981" w:rsidRDefault="008F2981" w:rsidP="008F2981">
            <w:pPr>
              <w:rPr>
                <w:rFonts w:ascii="Tahoma" w:hAnsi="Tahoma" w:cs="Tahoma"/>
                <w:b/>
                <w:bCs/>
                <w:color w:val="000000"/>
                <w:szCs w:val="22"/>
              </w:rPr>
            </w:pPr>
            <w:r w:rsidRPr="006E60EB">
              <w:rPr>
                <w:rFonts w:ascii="Tahoma" w:hAnsi="Tahoma" w:cs="Tahoma"/>
                <w:b/>
                <w:bCs/>
                <w:szCs w:val="22"/>
              </w:rPr>
              <w:t>Gradul de îndatorare</w:t>
            </w:r>
            <w:r w:rsidRPr="008F2981">
              <w:rPr>
                <w:rFonts w:ascii="Tahoma" w:hAnsi="Tahoma" w:cs="Tahoma"/>
                <w:b/>
                <w:bCs/>
                <w:szCs w:val="22"/>
              </w:rPr>
              <w:t xml:space="preserve"> (</w:t>
            </w:r>
            <w:r w:rsidRPr="006E60EB">
              <w:rPr>
                <w:rFonts w:ascii="Tahoma" w:hAnsi="Tahoma" w:cs="Tahoma"/>
                <w:b/>
                <w:bCs/>
                <w:szCs w:val="22"/>
              </w:rPr>
              <w:t>țintă</w:t>
            </w:r>
            <w:r w:rsidRPr="008F2981">
              <w:rPr>
                <w:rFonts w:ascii="Tahoma" w:hAnsi="Tahoma" w:cs="Tahoma"/>
                <w:b/>
                <w:bCs/>
                <w:szCs w:val="22"/>
              </w:rPr>
              <w:t>)</w:t>
            </w:r>
          </w:p>
        </w:tc>
        <w:tc>
          <w:tcPr>
            <w:tcW w:w="990" w:type="dxa"/>
            <w:tcBorders>
              <w:top w:val="single" w:sz="4" w:space="0" w:color="auto"/>
              <w:left w:val="nil"/>
              <w:bottom w:val="nil"/>
              <w:right w:val="single" w:sz="4" w:space="0" w:color="auto"/>
            </w:tcBorders>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BG</w:t>
            </w:r>
          </w:p>
        </w:tc>
        <w:tc>
          <w:tcPr>
            <w:tcW w:w="1170" w:type="dxa"/>
            <w:tcBorders>
              <w:top w:val="single" w:sz="4" w:space="0" w:color="auto"/>
              <w:left w:val="nil"/>
              <w:bottom w:val="nil"/>
              <w:right w:val="single" w:sz="4" w:space="0" w:color="auto"/>
            </w:tcBorders>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CZ</w:t>
            </w:r>
          </w:p>
        </w:tc>
        <w:tc>
          <w:tcPr>
            <w:tcW w:w="990" w:type="dxa"/>
            <w:tcBorders>
              <w:top w:val="single" w:sz="4" w:space="0" w:color="auto"/>
              <w:left w:val="nil"/>
              <w:bottom w:val="nil"/>
              <w:right w:val="single" w:sz="4" w:space="0" w:color="auto"/>
            </w:tcBorders>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HR</w:t>
            </w:r>
          </w:p>
        </w:tc>
        <w:tc>
          <w:tcPr>
            <w:tcW w:w="1080" w:type="dxa"/>
            <w:tcBorders>
              <w:top w:val="single" w:sz="4" w:space="0" w:color="auto"/>
              <w:left w:val="nil"/>
              <w:bottom w:val="nil"/>
              <w:right w:val="single" w:sz="4" w:space="0" w:color="auto"/>
            </w:tcBorders>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HU</w:t>
            </w:r>
          </w:p>
        </w:tc>
        <w:tc>
          <w:tcPr>
            <w:tcW w:w="990" w:type="dxa"/>
            <w:tcBorders>
              <w:top w:val="single" w:sz="4" w:space="0" w:color="auto"/>
              <w:left w:val="nil"/>
              <w:bottom w:val="nil"/>
              <w:right w:val="single" w:sz="4" w:space="0" w:color="auto"/>
            </w:tcBorders>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PL</w:t>
            </w:r>
          </w:p>
        </w:tc>
        <w:tc>
          <w:tcPr>
            <w:tcW w:w="990" w:type="dxa"/>
            <w:tcBorders>
              <w:top w:val="single" w:sz="4" w:space="0" w:color="auto"/>
              <w:left w:val="nil"/>
              <w:bottom w:val="nil"/>
              <w:right w:val="single" w:sz="4" w:space="0" w:color="auto"/>
            </w:tcBorders>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SE</w:t>
            </w:r>
          </w:p>
        </w:tc>
        <w:tc>
          <w:tcPr>
            <w:tcW w:w="1080" w:type="dxa"/>
            <w:tcBorders>
              <w:top w:val="single" w:sz="4" w:space="0" w:color="auto"/>
              <w:left w:val="nil"/>
              <w:bottom w:val="nil"/>
              <w:right w:val="single" w:sz="4" w:space="0" w:color="auto"/>
            </w:tcBorders>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Medie</w:t>
            </w:r>
          </w:p>
        </w:tc>
      </w:tr>
      <w:tr w:rsidR="00543131" w:rsidRPr="00543131" w:rsidTr="00E522BD">
        <w:trPr>
          <w:trHeight w:val="312"/>
        </w:trPr>
        <w:tc>
          <w:tcPr>
            <w:tcW w:w="2245" w:type="dxa"/>
            <w:vMerge/>
            <w:tcBorders>
              <w:left w:val="single" w:sz="4" w:space="0" w:color="auto"/>
              <w:bottom w:val="single" w:sz="4" w:space="0" w:color="auto"/>
              <w:right w:val="single" w:sz="4" w:space="0" w:color="auto"/>
            </w:tcBorders>
            <w:vAlign w:val="center"/>
            <w:hideMark/>
          </w:tcPr>
          <w:p w:rsidR="008F2981" w:rsidRPr="008F2981" w:rsidRDefault="008F2981" w:rsidP="008F2981">
            <w:pPr>
              <w:rPr>
                <w:rFonts w:ascii="Tahoma" w:hAnsi="Tahoma" w:cs="Tahoma"/>
                <w:b/>
                <w:bCs/>
                <w:szCs w:val="22"/>
              </w:rPr>
            </w:pPr>
          </w:p>
        </w:tc>
        <w:tc>
          <w:tcPr>
            <w:tcW w:w="990" w:type="dxa"/>
            <w:tcBorders>
              <w:top w:val="nil"/>
              <w:left w:val="nil"/>
              <w:bottom w:val="single" w:sz="4" w:space="0" w:color="auto"/>
              <w:right w:val="single" w:sz="4" w:space="0" w:color="auto"/>
            </w:tcBorders>
            <w:noWrap/>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34</w:t>
            </w:r>
            <w:r w:rsidRPr="00543131">
              <w:rPr>
                <w:rFonts w:ascii="Tahoma" w:hAnsi="Tahoma" w:cs="Tahoma"/>
                <w:b/>
                <w:bCs/>
                <w:szCs w:val="22"/>
              </w:rPr>
              <w:t>,</w:t>
            </w:r>
            <w:r w:rsidRPr="008F2981">
              <w:rPr>
                <w:rFonts w:ascii="Tahoma" w:hAnsi="Tahoma" w:cs="Tahoma"/>
                <w:b/>
                <w:bCs/>
                <w:szCs w:val="22"/>
              </w:rPr>
              <w:t>6%</w:t>
            </w:r>
          </w:p>
        </w:tc>
        <w:tc>
          <w:tcPr>
            <w:tcW w:w="1170" w:type="dxa"/>
            <w:tcBorders>
              <w:top w:val="nil"/>
              <w:left w:val="nil"/>
              <w:bottom w:val="single" w:sz="4" w:space="0" w:color="auto"/>
              <w:right w:val="single" w:sz="4" w:space="0" w:color="auto"/>
            </w:tcBorders>
            <w:noWrap/>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39</w:t>
            </w:r>
            <w:r w:rsidRPr="00543131">
              <w:rPr>
                <w:rFonts w:ascii="Tahoma" w:hAnsi="Tahoma" w:cs="Tahoma"/>
                <w:b/>
                <w:bCs/>
                <w:szCs w:val="22"/>
              </w:rPr>
              <w:t>,</w:t>
            </w:r>
            <w:r w:rsidRPr="008F2981">
              <w:rPr>
                <w:rFonts w:ascii="Tahoma" w:hAnsi="Tahoma" w:cs="Tahoma"/>
                <w:b/>
                <w:bCs/>
                <w:szCs w:val="22"/>
              </w:rPr>
              <w:t>3%</w:t>
            </w:r>
          </w:p>
        </w:tc>
        <w:tc>
          <w:tcPr>
            <w:tcW w:w="990" w:type="dxa"/>
            <w:tcBorders>
              <w:top w:val="nil"/>
              <w:left w:val="nil"/>
              <w:bottom w:val="single" w:sz="4" w:space="0" w:color="auto"/>
              <w:right w:val="single" w:sz="4" w:space="0" w:color="auto"/>
            </w:tcBorders>
            <w:noWrap/>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36</w:t>
            </w:r>
            <w:r w:rsidRPr="00543131">
              <w:rPr>
                <w:rFonts w:ascii="Tahoma" w:hAnsi="Tahoma" w:cs="Tahoma"/>
                <w:b/>
                <w:bCs/>
                <w:szCs w:val="22"/>
              </w:rPr>
              <w:t>,</w:t>
            </w:r>
            <w:r w:rsidRPr="008F2981">
              <w:rPr>
                <w:rFonts w:ascii="Tahoma" w:hAnsi="Tahoma" w:cs="Tahoma"/>
                <w:b/>
                <w:bCs/>
                <w:szCs w:val="22"/>
              </w:rPr>
              <w:t>1%</w:t>
            </w:r>
          </w:p>
        </w:tc>
        <w:tc>
          <w:tcPr>
            <w:tcW w:w="1080" w:type="dxa"/>
            <w:tcBorders>
              <w:top w:val="nil"/>
              <w:left w:val="nil"/>
              <w:bottom w:val="single" w:sz="4" w:space="0" w:color="auto"/>
              <w:right w:val="single" w:sz="4" w:space="0" w:color="auto"/>
            </w:tcBorders>
            <w:noWrap/>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38</w:t>
            </w:r>
            <w:r w:rsidRPr="00543131">
              <w:rPr>
                <w:rFonts w:ascii="Tahoma" w:hAnsi="Tahoma" w:cs="Tahoma"/>
                <w:b/>
                <w:bCs/>
                <w:szCs w:val="22"/>
              </w:rPr>
              <w:t>,</w:t>
            </w:r>
            <w:r w:rsidRPr="008F2981">
              <w:rPr>
                <w:rFonts w:ascii="Tahoma" w:hAnsi="Tahoma" w:cs="Tahoma"/>
                <w:b/>
                <w:bCs/>
                <w:szCs w:val="22"/>
              </w:rPr>
              <w:t>0%</w:t>
            </w:r>
          </w:p>
        </w:tc>
        <w:tc>
          <w:tcPr>
            <w:tcW w:w="990" w:type="dxa"/>
            <w:tcBorders>
              <w:top w:val="nil"/>
              <w:left w:val="nil"/>
              <w:bottom w:val="single" w:sz="4" w:space="0" w:color="auto"/>
              <w:right w:val="single" w:sz="4" w:space="0" w:color="auto"/>
            </w:tcBorders>
            <w:noWrap/>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54</w:t>
            </w:r>
            <w:r w:rsidRPr="00543131">
              <w:rPr>
                <w:rFonts w:ascii="Tahoma" w:hAnsi="Tahoma" w:cs="Tahoma"/>
                <w:b/>
                <w:bCs/>
                <w:szCs w:val="22"/>
              </w:rPr>
              <w:t>,</w:t>
            </w:r>
            <w:r w:rsidRPr="008F2981">
              <w:rPr>
                <w:rFonts w:ascii="Tahoma" w:hAnsi="Tahoma" w:cs="Tahoma"/>
                <w:b/>
                <w:bCs/>
                <w:szCs w:val="22"/>
              </w:rPr>
              <w:t>8%</w:t>
            </w:r>
          </w:p>
        </w:tc>
        <w:tc>
          <w:tcPr>
            <w:tcW w:w="990" w:type="dxa"/>
            <w:tcBorders>
              <w:top w:val="nil"/>
              <w:left w:val="nil"/>
              <w:bottom w:val="single" w:sz="4" w:space="0" w:color="auto"/>
              <w:right w:val="single" w:sz="4" w:space="0" w:color="auto"/>
            </w:tcBorders>
            <w:noWrap/>
            <w:vAlign w:val="center"/>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38</w:t>
            </w:r>
            <w:r w:rsidRPr="00543131">
              <w:rPr>
                <w:rFonts w:ascii="Tahoma" w:hAnsi="Tahoma" w:cs="Tahoma"/>
                <w:b/>
                <w:bCs/>
                <w:szCs w:val="22"/>
              </w:rPr>
              <w:t>,</w:t>
            </w:r>
            <w:r w:rsidRPr="008F2981">
              <w:rPr>
                <w:rFonts w:ascii="Tahoma" w:hAnsi="Tahoma" w:cs="Tahoma"/>
                <w:b/>
                <w:bCs/>
                <w:szCs w:val="22"/>
              </w:rPr>
              <w:t>0%</w:t>
            </w:r>
          </w:p>
        </w:tc>
        <w:tc>
          <w:tcPr>
            <w:tcW w:w="1080" w:type="dxa"/>
            <w:tcBorders>
              <w:top w:val="nil"/>
              <w:left w:val="nil"/>
              <w:bottom w:val="single" w:sz="4" w:space="0" w:color="auto"/>
              <w:right w:val="single" w:sz="4" w:space="0" w:color="auto"/>
            </w:tcBorders>
            <w:noWrap/>
            <w:vAlign w:val="bottom"/>
            <w:hideMark/>
          </w:tcPr>
          <w:p w:rsidR="008F2981" w:rsidRPr="008F2981" w:rsidRDefault="008F2981" w:rsidP="008F2981">
            <w:pPr>
              <w:jc w:val="center"/>
              <w:rPr>
                <w:rFonts w:ascii="Tahoma" w:hAnsi="Tahoma" w:cs="Tahoma"/>
                <w:b/>
                <w:bCs/>
                <w:szCs w:val="22"/>
              </w:rPr>
            </w:pPr>
            <w:r w:rsidRPr="008F2981">
              <w:rPr>
                <w:rFonts w:ascii="Tahoma" w:hAnsi="Tahoma" w:cs="Tahoma"/>
                <w:b/>
                <w:bCs/>
                <w:szCs w:val="22"/>
              </w:rPr>
              <w:t>40</w:t>
            </w:r>
            <w:r w:rsidRPr="00543131">
              <w:rPr>
                <w:rFonts w:ascii="Tahoma" w:hAnsi="Tahoma" w:cs="Tahoma"/>
                <w:b/>
                <w:bCs/>
                <w:szCs w:val="22"/>
              </w:rPr>
              <w:t>,</w:t>
            </w:r>
            <w:r w:rsidRPr="008F2981">
              <w:rPr>
                <w:rFonts w:ascii="Tahoma" w:hAnsi="Tahoma" w:cs="Tahoma"/>
                <w:b/>
                <w:bCs/>
                <w:szCs w:val="22"/>
              </w:rPr>
              <w:t>13%</w:t>
            </w:r>
          </w:p>
        </w:tc>
      </w:tr>
    </w:tbl>
    <w:p w:rsidR="005B7120" w:rsidRPr="006E60EB" w:rsidRDefault="005B7120" w:rsidP="00BA0585">
      <w:pPr>
        <w:pStyle w:val="Heading2"/>
        <w:numPr>
          <w:ilvl w:val="0"/>
          <w:numId w:val="2"/>
        </w:numPr>
        <w:ind w:hanging="720"/>
        <w:rPr>
          <w:rFonts w:ascii="Tahoma" w:hAnsi="Tahoma" w:cs="Tahoma"/>
          <w:color w:val="auto"/>
          <w:sz w:val="22"/>
          <w:szCs w:val="22"/>
        </w:rPr>
      </w:pPr>
      <w:r w:rsidRPr="006E60EB">
        <w:rPr>
          <w:rFonts w:ascii="Tahoma" w:hAnsi="Tahoma" w:cs="Tahoma"/>
          <w:color w:val="auto"/>
          <w:sz w:val="22"/>
          <w:szCs w:val="22"/>
        </w:rPr>
        <w:t xml:space="preserve">Rezultat </w:t>
      </w:r>
    </w:p>
    <w:p w:rsidR="00932A6E" w:rsidRPr="00041154" w:rsidRDefault="00932A6E" w:rsidP="005B7120">
      <w:pPr>
        <w:pStyle w:val="ListParagraph"/>
        <w:rPr>
          <w:rFonts w:ascii="Tahoma" w:hAnsi="Tahoma" w:cs="Tahoma"/>
          <w:sz w:val="22"/>
          <w:szCs w:val="22"/>
        </w:rPr>
      </w:pPr>
    </w:p>
    <w:tbl>
      <w:tblPr>
        <w:tblW w:w="6853" w:type="dxa"/>
        <w:tblLook w:val="04A0" w:firstRow="1" w:lastRow="0" w:firstColumn="1" w:lastColumn="0" w:noHBand="0" w:noVBand="1"/>
      </w:tblPr>
      <w:tblGrid>
        <w:gridCol w:w="5744"/>
        <w:gridCol w:w="1109"/>
      </w:tblGrid>
      <w:tr w:rsidR="00033BD7" w:rsidRPr="00033BD7" w:rsidTr="00033BD7">
        <w:trPr>
          <w:trHeight w:val="276"/>
        </w:trPr>
        <w:tc>
          <w:tcPr>
            <w:tcW w:w="5744" w:type="dxa"/>
            <w:tcBorders>
              <w:top w:val="nil"/>
              <w:left w:val="nil"/>
              <w:bottom w:val="nil"/>
              <w:right w:val="nil"/>
            </w:tcBorders>
            <w:noWrap/>
            <w:vAlign w:val="center"/>
            <w:hideMark/>
          </w:tcPr>
          <w:p w:rsidR="00033BD7" w:rsidRPr="00033BD7" w:rsidRDefault="00033BD7" w:rsidP="00033BD7">
            <w:pPr>
              <w:rPr>
                <w:rFonts w:ascii="Tahoma" w:hAnsi="Tahoma" w:cs="Tahoma"/>
                <w:b/>
                <w:bCs/>
                <w:color w:val="000000"/>
                <w:szCs w:val="22"/>
              </w:rPr>
            </w:pPr>
            <w:r w:rsidRPr="00033BD7">
              <w:rPr>
                <w:rFonts w:ascii="Tahoma" w:hAnsi="Tahoma" w:cs="Tahoma"/>
                <w:b/>
                <w:bCs/>
                <w:color w:val="000000"/>
                <w:szCs w:val="22"/>
              </w:rPr>
              <w:t>Costul datoriei = R</w:t>
            </w:r>
            <w:r w:rsidRPr="00033BD7">
              <w:rPr>
                <w:rFonts w:ascii="Tahoma" w:hAnsi="Tahoma" w:cs="Tahoma"/>
                <w:b/>
                <w:bCs/>
                <w:color w:val="000000"/>
                <w:sz w:val="12"/>
                <w:szCs w:val="12"/>
              </w:rPr>
              <w:t>f</w:t>
            </w:r>
            <w:r w:rsidRPr="00033BD7">
              <w:rPr>
                <w:rFonts w:ascii="Tahoma" w:hAnsi="Tahoma" w:cs="Tahoma"/>
                <w:b/>
                <w:bCs/>
                <w:color w:val="000000"/>
                <w:szCs w:val="22"/>
              </w:rPr>
              <w:t xml:space="preserve"> + DM</w:t>
            </w:r>
          </w:p>
        </w:tc>
        <w:tc>
          <w:tcPr>
            <w:tcW w:w="1109" w:type="dxa"/>
            <w:tcBorders>
              <w:top w:val="nil"/>
              <w:left w:val="nil"/>
              <w:bottom w:val="single" w:sz="4" w:space="0" w:color="auto"/>
              <w:right w:val="nil"/>
            </w:tcBorders>
            <w:noWrap/>
            <w:vAlign w:val="center"/>
            <w:hideMark/>
          </w:tcPr>
          <w:p w:rsidR="00033BD7" w:rsidRPr="00033BD7" w:rsidRDefault="00033BD7" w:rsidP="00033BD7">
            <w:pPr>
              <w:rPr>
                <w:rFonts w:ascii="Tahoma" w:hAnsi="Tahoma" w:cs="Tahoma"/>
                <w:b/>
                <w:bCs/>
                <w:color w:val="000000"/>
                <w:szCs w:val="22"/>
              </w:rPr>
            </w:pPr>
            <w:r w:rsidRPr="00033BD7">
              <w:rPr>
                <w:rFonts w:ascii="Tahoma" w:hAnsi="Tahoma" w:cs="Tahoma"/>
                <w:b/>
                <w:bCs/>
                <w:color w:val="000000"/>
                <w:szCs w:val="22"/>
              </w:rPr>
              <w:t>Valoare</w:t>
            </w:r>
          </w:p>
        </w:tc>
      </w:tr>
      <w:tr w:rsidR="00033BD7" w:rsidRPr="00033BD7" w:rsidTr="00033BD7">
        <w:trPr>
          <w:trHeight w:val="276"/>
        </w:trPr>
        <w:tc>
          <w:tcPr>
            <w:tcW w:w="5744" w:type="dxa"/>
            <w:tcBorders>
              <w:top w:val="single" w:sz="4" w:space="0" w:color="auto"/>
              <w:left w:val="single" w:sz="4" w:space="0" w:color="auto"/>
              <w:bottom w:val="nil"/>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Rata f</w:t>
            </w:r>
            <w:r w:rsidR="006E60EB" w:rsidRPr="006E60EB">
              <w:rPr>
                <w:rFonts w:ascii="Tahoma" w:hAnsi="Tahoma" w:cs="Tahoma"/>
                <w:color w:val="000000"/>
                <w:szCs w:val="22"/>
              </w:rPr>
              <w:t>ă</w:t>
            </w:r>
            <w:r w:rsidRPr="00033BD7">
              <w:rPr>
                <w:rFonts w:ascii="Tahoma" w:hAnsi="Tahoma" w:cs="Tahoma"/>
                <w:color w:val="000000"/>
                <w:szCs w:val="22"/>
              </w:rPr>
              <w:t>r</w:t>
            </w:r>
            <w:r w:rsidR="006E60EB" w:rsidRPr="006E60EB">
              <w:rPr>
                <w:rFonts w:ascii="Tahoma" w:hAnsi="Tahoma" w:cs="Tahoma"/>
                <w:color w:val="000000"/>
                <w:szCs w:val="22"/>
              </w:rPr>
              <w:t>ă</w:t>
            </w:r>
            <w:r w:rsidRPr="00033BD7">
              <w:rPr>
                <w:rFonts w:ascii="Tahoma" w:hAnsi="Tahoma" w:cs="Tahoma"/>
                <w:color w:val="000000"/>
                <w:szCs w:val="22"/>
              </w:rPr>
              <w:t xml:space="preserve"> risc (R</w:t>
            </w:r>
            <w:r w:rsidRPr="00033BD7">
              <w:rPr>
                <w:rFonts w:ascii="Tahoma" w:hAnsi="Tahoma" w:cs="Tahoma"/>
                <w:color w:val="000000"/>
                <w:sz w:val="12"/>
                <w:szCs w:val="12"/>
              </w:rPr>
              <w:t>f</w:t>
            </w:r>
            <w:r w:rsidRPr="00033BD7">
              <w:rPr>
                <w:rFonts w:ascii="Tahoma" w:hAnsi="Tahoma" w:cs="Tahoma"/>
                <w:color w:val="000000"/>
                <w:szCs w:val="22"/>
              </w:rPr>
              <w:t>)</w:t>
            </w:r>
          </w:p>
        </w:tc>
        <w:tc>
          <w:tcPr>
            <w:tcW w:w="1109" w:type="dxa"/>
            <w:tcBorders>
              <w:top w:val="single" w:sz="4" w:space="0" w:color="auto"/>
              <w:left w:val="dotted" w:sz="4" w:space="0" w:color="auto"/>
              <w:bottom w:val="nil"/>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2</w:t>
            </w:r>
            <w:r w:rsidR="006E60EB">
              <w:rPr>
                <w:rFonts w:ascii="Tahoma" w:hAnsi="Tahoma" w:cs="Tahoma"/>
                <w:b/>
                <w:bCs/>
                <w:szCs w:val="22"/>
              </w:rPr>
              <w:t>,</w:t>
            </w:r>
            <w:r w:rsidRPr="00033BD7">
              <w:rPr>
                <w:rFonts w:ascii="Tahoma" w:hAnsi="Tahoma" w:cs="Tahoma"/>
                <w:b/>
                <w:bCs/>
                <w:szCs w:val="22"/>
              </w:rPr>
              <w:t>4</w:t>
            </w:r>
            <w:r w:rsidR="00FA6C4C">
              <w:rPr>
                <w:rFonts w:ascii="Tahoma" w:hAnsi="Tahoma" w:cs="Tahoma"/>
                <w:b/>
                <w:bCs/>
                <w:szCs w:val="22"/>
              </w:rPr>
              <w:t>8</w:t>
            </w:r>
            <w:r w:rsidRPr="00033BD7">
              <w:rPr>
                <w:rFonts w:ascii="Tahoma" w:hAnsi="Tahoma" w:cs="Tahoma"/>
                <w:b/>
                <w:bCs/>
                <w:szCs w:val="22"/>
              </w:rPr>
              <w:t>%</w:t>
            </w:r>
          </w:p>
        </w:tc>
      </w:tr>
      <w:tr w:rsidR="00033BD7" w:rsidRPr="00033BD7" w:rsidTr="00033BD7">
        <w:trPr>
          <w:trHeight w:val="276"/>
        </w:trPr>
        <w:tc>
          <w:tcPr>
            <w:tcW w:w="5744" w:type="dxa"/>
            <w:tcBorders>
              <w:top w:val="nil"/>
              <w:left w:val="single" w:sz="4" w:space="0" w:color="auto"/>
              <w:bottom w:val="nil"/>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Prima de risc aferentă capitalului împrumutat (DM)</w:t>
            </w:r>
          </w:p>
        </w:tc>
        <w:tc>
          <w:tcPr>
            <w:tcW w:w="1109" w:type="dxa"/>
            <w:tcBorders>
              <w:top w:val="nil"/>
              <w:left w:val="dotted" w:sz="4" w:space="0" w:color="auto"/>
              <w:bottom w:val="single" w:sz="4" w:space="0" w:color="auto"/>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1</w:t>
            </w:r>
            <w:r w:rsidR="006E60EB">
              <w:rPr>
                <w:rFonts w:ascii="Tahoma" w:hAnsi="Tahoma" w:cs="Tahoma"/>
                <w:b/>
                <w:bCs/>
                <w:szCs w:val="22"/>
              </w:rPr>
              <w:t>,</w:t>
            </w:r>
            <w:r w:rsidRPr="00033BD7">
              <w:rPr>
                <w:rFonts w:ascii="Tahoma" w:hAnsi="Tahoma" w:cs="Tahoma"/>
                <w:b/>
                <w:bCs/>
                <w:szCs w:val="22"/>
              </w:rPr>
              <w:t>74%</w:t>
            </w:r>
          </w:p>
        </w:tc>
      </w:tr>
      <w:tr w:rsidR="00033BD7" w:rsidRPr="00033BD7" w:rsidTr="00033BD7">
        <w:trPr>
          <w:trHeight w:val="276"/>
        </w:trPr>
        <w:tc>
          <w:tcPr>
            <w:tcW w:w="574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Costul datoriei (k</w:t>
            </w:r>
            <w:r w:rsidRPr="00033BD7">
              <w:rPr>
                <w:rFonts w:ascii="Tahoma" w:hAnsi="Tahoma" w:cs="Tahoma"/>
                <w:color w:val="000000"/>
                <w:sz w:val="12"/>
                <w:szCs w:val="12"/>
              </w:rPr>
              <w:t>D</w:t>
            </w:r>
            <w:r w:rsidRPr="00033BD7">
              <w:rPr>
                <w:rFonts w:ascii="Tahoma" w:hAnsi="Tahoma" w:cs="Tahoma"/>
                <w:color w:val="000000"/>
                <w:szCs w:val="22"/>
              </w:rPr>
              <w:t>)</w:t>
            </w:r>
          </w:p>
        </w:tc>
        <w:tc>
          <w:tcPr>
            <w:tcW w:w="1109" w:type="dxa"/>
            <w:tcBorders>
              <w:top w:val="single" w:sz="4" w:space="0" w:color="auto"/>
              <w:left w:val="dotted" w:sz="4" w:space="0" w:color="auto"/>
              <w:bottom w:val="single" w:sz="4" w:space="0" w:color="auto"/>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4</w:t>
            </w:r>
            <w:r w:rsidR="006E60EB">
              <w:rPr>
                <w:rFonts w:ascii="Tahoma" w:hAnsi="Tahoma" w:cs="Tahoma"/>
                <w:b/>
                <w:bCs/>
                <w:szCs w:val="22"/>
              </w:rPr>
              <w:t>,</w:t>
            </w:r>
            <w:r w:rsidR="00FA6C4C">
              <w:rPr>
                <w:rFonts w:ascii="Tahoma" w:hAnsi="Tahoma" w:cs="Tahoma"/>
                <w:b/>
                <w:bCs/>
                <w:szCs w:val="22"/>
              </w:rPr>
              <w:t>22</w:t>
            </w:r>
            <w:r w:rsidRPr="00033BD7">
              <w:rPr>
                <w:rFonts w:ascii="Tahoma" w:hAnsi="Tahoma" w:cs="Tahoma"/>
                <w:b/>
                <w:bCs/>
                <w:szCs w:val="22"/>
              </w:rPr>
              <w:t>%</w:t>
            </w:r>
          </w:p>
        </w:tc>
      </w:tr>
      <w:tr w:rsidR="00033BD7" w:rsidRPr="00033BD7" w:rsidTr="00033BD7">
        <w:trPr>
          <w:trHeight w:val="276"/>
        </w:trPr>
        <w:tc>
          <w:tcPr>
            <w:tcW w:w="5744" w:type="dxa"/>
            <w:tcBorders>
              <w:top w:val="nil"/>
              <w:left w:val="nil"/>
              <w:bottom w:val="nil"/>
              <w:right w:val="nil"/>
            </w:tcBorders>
            <w:noWrap/>
            <w:vAlign w:val="center"/>
            <w:hideMark/>
          </w:tcPr>
          <w:p w:rsidR="00033BD7" w:rsidRPr="00033BD7" w:rsidRDefault="00033BD7" w:rsidP="00033BD7">
            <w:pPr>
              <w:rPr>
                <w:rFonts w:ascii="Tahoma" w:hAnsi="Tahoma" w:cs="Tahoma"/>
                <w:b/>
                <w:bCs/>
                <w:color w:val="000000"/>
                <w:szCs w:val="22"/>
              </w:rPr>
            </w:pPr>
            <w:r w:rsidRPr="00033BD7">
              <w:rPr>
                <w:rFonts w:ascii="Tahoma" w:hAnsi="Tahoma" w:cs="Tahoma"/>
                <w:b/>
                <w:bCs/>
                <w:color w:val="000000"/>
                <w:szCs w:val="22"/>
              </w:rPr>
              <w:t>Costul capitalurilor proprii = R</w:t>
            </w:r>
            <w:r w:rsidRPr="00033BD7">
              <w:rPr>
                <w:rFonts w:ascii="Tahoma" w:hAnsi="Tahoma" w:cs="Tahoma"/>
                <w:b/>
                <w:bCs/>
                <w:color w:val="000000"/>
                <w:sz w:val="12"/>
                <w:szCs w:val="12"/>
              </w:rPr>
              <w:t>F</w:t>
            </w:r>
            <w:r w:rsidRPr="00033BD7">
              <w:rPr>
                <w:rFonts w:ascii="Tahoma" w:hAnsi="Tahoma" w:cs="Tahoma"/>
                <w:b/>
                <w:bCs/>
                <w:color w:val="000000"/>
                <w:szCs w:val="22"/>
              </w:rPr>
              <w:t xml:space="preserve"> + β*ERP</w:t>
            </w:r>
          </w:p>
        </w:tc>
        <w:tc>
          <w:tcPr>
            <w:tcW w:w="1109" w:type="dxa"/>
            <w:tcBorders>
              <w:top w:val="nil"/>
              <w:left w:val="nil"/>
              <w:bottom w:val="single" w:sz="4" w:space="0" w:color="auto"/>
              <w:right w:val="nil"/>
            </w:tcBorders>
            <w:noWrap/>
            <w:vAlign w:val="center"/>
            <w:hideMark/>
          </w:tcPr>
          <w:p w:rsidR="00033BD7" w:rsidRPr="00033BD7" w:rsidRDefault="00033BD7" w:rsidP="00033BD7">
            <w:pPr>
              <w:rPr>
                <w:rFonts w:ascii="Tahoma" w:hAnsi="Tahoma" w:cs="Tahoma"/>
                <w:b/>
                <w:bCs/>
                <w:color w:val="000000"/>
                <w:szCs w:val="22"/>
              </w:rPr>
            </w:pPr>
          </w:p>
        </w:tc>
      </w:tr>
      <w:tr w:rsidR="00033BD7" w:rsidRPr="00033BD7" w:rsidTr="00033BD7">
        <w:trPr>
          <w:trHeight w:val="276"/>
        </w:trPr>
        <w:tc>
          <w:tcPr>
            <w:tcW w:w="5744" w:type="dxa"/>
            <w:tcBorders>
              <w:top w:val="single" w:sz="4" w:space="0" w:color="auto"/>
              <w:left w:val="single" w:sz="4" w:space="0" w:color="auto"/>
              <w:bottom w:val="nil"/>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Rata f</w:t>
            </w:r>
            <w:r w:rsidR="006E60EB">
              <w:rPr>
                <w:rFonts w:ascii="Tahoma" w:hAnsi="Tahoma" w:cs="Tahoma"/>
                <w:color w:val="000000"/>
                <w:szCs w:val="22"/>
              </w:rPr>
              <w:t>ă</w:t>
            </w:r>
            <w:r w:rsidRPr="00033BD7">
              <w:rPr>
                <w:rFonts w:ascii="Tahoma" w:hAnsi="Tahoma" w:cs="Tahoma"/>
                <w:color w:val="000000"/>
                <w:szCs w:val="22"/>
              </w:rPr>
              <w:t>r</w:t>
            </w:r>
            <w:r w:rsidR="006E60EB">
              <w:rPr>
                <w:rFonts w:ascii="Tahoma" w:hAnsi="Tahoma" w:cs="Tahoma"/>
                <w:color w:val="000000"/>
                <w:szCs w:val="22"/>
              </w:rPr>
              <w:t>ă</w:t>
            </w:r>
            <w:r w:rsidRPr="00033BD7">
              <w:rPr>
                <w:rFonts w:ascii="Tahoma" w:hAnsi="Tahoma" w:cs="Tahoma"/>
                <w:color w:val="000000"/>
                <w:szCs w:val="22"/>
              </w:rPr>
              <w:t xml:space="preserve"> risc (R</w:t>
            </w:r>
            <w:r w:rsidRPr="00033BD7">
              <w:rPr>
                <w:rFonts w:ascii="Tahoma" w:hAnsi="Tahoma" w:cs="Tahoma"/>
                <w:color w:val="000000"/>
                <w:sz w:val="12"/>
                <w:szCs w:val="12"/>
              </w:rPr>
              <w:t>f</w:t>
            </w:r>
            <w:r w:rsidRPr="00033BD7">
              <w:rPr>
                <w:rFonts w:ascii="Tahoma" w:hAnsi="Tahoma" w:cs="Tahoma"/>
                <w:color w:val="000000"/>
                <w:szCs w:val="22"/>
              </w:rPr>
              <w:t>)</w:t>
            </w:r>
          </w:p>
        </w:tc>
        <w:tc>
          <w:tcPr>
            <w:tcW w:w="1109" w:type="dxa"/>
            <w:tcBorders>
              <w:top w:val="single" w:sz="4" w:space="0" w:color="auto"/>
              <w:left w:val="dotted" w:sz="4" w:space="0" w:color="auto"/>
              <w:bottom w:val="nil"/>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2</w:t>
            </w:r>
            <w:r w:rsidR="006E60EB">
              <w:rPr>
                <w:rFonts w:ascii="Tahoma" w:hAnsi="Tahoma" w:cs="Tahoma"/>
                <w:b/>
                <w:bCs/>
                <w:szCs w:val="22"/>
              </w:rPr>
              <w:t>,</w:t>
            </w:r>
            <w:r w:rsidRPr="00033BD7">
              <w:rPr>
                <w:rFonts w:ascii="Tahoma" w:hAnsi="Tahoma" w:cs="Tahoma"/>
                <w:b/>
                <w:bCs/>
                <w:szCs w:val="22"/>
              </w:rPr>
              <w:t>4</w:t>
            </w:r>
            <w:r w:rsidR="00FA6C4C">
              <w:rPr>
                <w:rFonts w:ascii="Tahoma" w:hAnsi="Tahoma" w:cs="Tahoma"/>
                <w:b/>
                <w:bCs/>
                <w:szCs w:val="22"/>
              </w:rPr>
              <w:t>8</w:t>
            </w:r>
            <w:r w:rsidRPr="00033BD7">
              <w:rPr>
                <w:rFonts w:ascii="Tahoma" w:hAnsi="Tahoma" w:cs="Tahoma"/>
                <w:b/>
                <w:bCs/>
                <w:szCs w:val="22"/>
              </w:rPr>
              <w:t>%</w:t>
            </w:r>
          </w:p>
        </w:tc>
      </w:tr>
      <w:tr w:rsidR="00033BD7" w:rsidRPr="00033BD7" w:rsidTr="00033BD7">
        <w:trPr>
          <w:trHeight w:val="276"/>
        </w:trPr>
        <w:tc>
          <w:tcPr>
            <w:tcW w:w="5744" w:type="dxa"/>
            <w:tcBorders>
              <w:top w:val="nil"/>
              <w:left w:val="single" w:sz="4" w:space="0" w:color="auto"/>
              <w:bottom w:val="nil"/>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Beta (β)</w:t>
            </w:r>
          </w:p>
        </w:tc>
        <w:tc>
          <w:tcPr>
            <w:tcW w:w="1109" w:type="dxa"/>
            <w:tcBorders>
              <w:top w:val="nil"/>
              <w:left w:val="dotted" w:sz="4" w:space="0" w:color="auto"/>
              <w:bottom w:val="nil"/>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0</w:t>
            </w:r>
            <w:r w:rsidR="006E60EB">
              <w:rPr>
                <w:rFonts w:ascii="Tahoma" w:hAnsi="Tahoma" w:cs="Tahoma"/>
                <w:b/>
                <w:bCs/>
                <w:szCs w:val="22"/>
              </w:rPr>
              <w:t>,</w:t>
            </w:r>
            <w:r w:rsidRPr="00033BD7">
              <w:rPr>
                <w:rFonts w:ascii="Tahoma" w:hAnsi="Tahoma" w:cs="Tahoma"/>
                <w:b/>
                <w:bCs/>
                <w:szCs w:val="22"/>
              </w:rPr>
              <w:t>89</w:t>
            </w:r>
          </w:p>
        </w:tc>
      </w:tr>
      <w:tr w:rsidR="00033BD7" w:rsidRPr="00033BD7" w:rsidTr="00033BD7">
        <w:trPr>
          <w:trHeight w:val="276"/>
        </w:trPr>
        <w:tc>
          <w:tcPr>
            <w:tcW w:w="5744" w:type="dxa"/>
            <w:tcBorders>
              <w:top w:val="nil"/>
              <w:left w:val="single" w:sz="4" w:space="0" w:color="auto"/>
              <w:bottom w:val="nil"/>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Prima de risc de capital (ERP)</w:t>
            </w:r>
          </w:p>
        </w:tc>
        <w:tc>
          <w:tcPr>
            <w:tcW w:w="1109" w:type="dxa"/>
            <w:tcBorders>
              <w:top w:val="nil"/>
              <w:left w:val="dotted" w:sz="4" w:space="0" w:color="auto"/>
              <w:bottom w:val="single" w:sz="4" w:space="0" w:color="auto"/>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7</w:t>
            </w:r>
            <w:r w:rsidR="006E60EB">
              <w:rPr>
                <w:rFonts w:ascii="Tahoma" w:hAnsi="Tahoma" w:cs="Tahoma"/>
                <w:b/>
                <w:bCs/>
                <w:szCs w:val="22"/>
              </w:rPr>
              <w:t>,</w:t>
            </w:r>
            <w:r w:rsidRPr="00033BD7">
              <w:rPr>
                <w:rFonts w:ascii="Tahoma" w:hAnsi="Tahoma" w:cs="Tahoma"/>
                <w:b/>
                <w:bCs/>
                <w:szCs w:val="22"/>
              </w:rPr>
              <w:t>37%</w:t>
            </w:r>
          </w:p>
        </w:tc>
      </w:tr>
      <w:tr w:rsidR="00033BD7" w:rsidRPr="00033BD7" w:rsidTr="00033BD7">
        <w:trPr>
          <w:trHeight w:val="276"/>
        </w:trPr>
        <w:tc>
          <w:tcPr>
            <w:tcW w:w="5744"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Costul capitalurilor proprii (C</w:t>
            </w:r>
            <w:r w:rsidRPr="00033BD7">
              <w:rPr>
                <w:rFonts w:ascii="Tahoma" w:hAnsi="Tahoma" w:cs="Tahoma"/>
                <w:color w:val="000000"/>
                <w:sz w:val="12"/>
                <w:szCs w:val="12"/>
              </w:rPr>
              <w:t>E</w:t>
            </w:r>
            <w:r w:rsidRPr="00033BD7">
              <w:rPr>
                <w:rFonts w:ascii="Tahoma" w:hAnsi="Tahoma" w:cs="Tahoma"/>
                <w:color w:val="000000"/>
                <w:szCs w:val="22"/>
              </w:rPr>
              <w:t>)</w:t>
            </w:r>
          </w:p>
        </w:tc>
        <w:tc>
          <w:tcPr>
            <w:tcW w:w="1109" w:type="dxa"/>
            <w:tcBorders>
              <w:top w:val="nil"/>
              <w:left w:val="dotted" w:sz="4" w:space="0" w:color="auto"/>
              <w:bottom w:val="single" w:sz="4" w:space="0" w:color="auto"/>
              <w:right w:val="single" w:sz="4" w:space="0" w:color="auto"/>
            </w:tcBorders>
            <w:noWrap/>
            <w:vAlign w:val="center"/>
            <w:hideMark/>
          </w:tcPr>
          <w:p w:rsidR="00033BD7" w:rsidRPr="00033BD7" w:rsidRDefault="00FA6C4C" w:rsidP="00033BD7">
            <w:pPr>
              <w:jc w:val="center"/>
              <w:rPr>
                <w:rFonts w:ascii="Tahoma" w:hAnsi="Tahoma" w:cs="Tahoma"/>
                <w:b/>
                <w:bCs/>
                <w:szCs w:val="22"/>
              </w:rPr>
            </w:pPr>
            <w:r>
              <w:rPr>
                <w:rFonts w:ascii="Tahoma" w:hAnsi="Tahoma" w:cs="Tahoma"/>
                <w:b/>
                <w:bCs/>
                <w:szCs w:val="22"/>
              </w:rPr>
              <w:t>9</w:t>
            </w:r>
            <w:r w:rsidR="006E60EB">
              <w:rPr>
                <w:rFonts w:ascii="Tahoma" w:hAnsi="Tahoma" w:cs="Tahoma"/>
                <w:b/>
                <w:bCs/>
                <w:szCs w:val="22"/>
              </w:rPr>
              <w:t>,</w:t>
            </w:r>
            <w:r>
              <w:rPr>
                <w:rFonts w:ascii="Tahoma" w:hAnsi="Tahoma" w:cs="Tahoma"/>
                <w:b/>
                <w:bCs/>
                <w:szCs w:val="22"/>
              </w:rPr>
              <w:t>04</w:t>
            </w:r>
            <w:r w:rsidR="00033BD7" w:rsidRPr="00033BD7">
              <w:rPr>
                <w:rFonts w:ascii="Tahoma" w:hAnsi="Tahoma" w:cs="Tahoma"/>
                <w:b/>
                <w:bCs/>
                <w:szCs w:val="22"/>
              </w:rPr>
              <w:t>%</w:t>
            </w:r>
          </w:p>
        </w:tc>
      </w:tr>
      <w:tr w:rsidR="00033BD7" w:rsidRPr="00033BD7" w:rsidTr="00033BD7">
        <w:trPr>
          <w:trHeight w:val="276"/>
        </w:trPr>
        <w:tc>
          <w:tcPr>
            <w:tcW w:w="5744" w:type="dxa"/>
            <w:tcBorders>
              <w:top w:val="nil"/>
              <w:left w:val="nil"/>
              <w:bottom w:val="nil"/>
              <w:right w:val="nil"/>
            </w:tcBorders>
            <w:noWrap/>
            <w:vAlign w:val="center"/>
            <w:hideMark/>
          </w:tcPr>
          <w:p w:rsidR="00033BD7" w:rsidRPr="00033BD7" w:rsidRDefault="00033BD7" w:rsidP="00033BD7">
            <w:pPr>
              <w:rPr>
                <w:rFonts w:ascii="Tahoma" w:hAnsi="Tahoma" w:cs="Tahoma"/>
                <w:b/>
                <w:bCs/>
                <w:color w:val="000000"/>
                <w:szCs w:val="22"/>
              </w:rPr>
            </w:pPr>
            <w:r w:rsidRPr="00033BD7">
              <w:rPr>
                <w:rFonts w:ascii="Tahoma" w:hAnsi="Tahoma" w:cs="Tahoma"/>
                <w:b/>
                <w:bCs/>
                <w:color w:val="000000"/>
                <w:szCs w:val="22"/>
              </w:rPr>
              <w:t>Al</w:t>
            </w:r>
            <w:r w:rsidR="006E60EB">
              <w:rPr>
                <w:rFonts w:ascii="Tahoma" w:hAnsi="Tahoma" w:cs="Tahoma"/>
                <w:b/>
                <w:bCs/>
                <w:color w:val="000000"/>
                <w:szCs w:val="22"/>
              </w:rPr>
              <w:t>ț</w:t>
            </w:r>
            <w:r w:rsidRPr="00033BD7">
              <w:rPr>
                <w:rFonts w:ascii="Tahoma" w:hAnsi="Tahoma" w:cs="Tahoma"/>
                <w:b/>
                <w:bCs/>
                <w:color w:val="000000"/>
                <w:szCs w:val="22"/>
              </w:rPr>
              <w:t>i parametri</w:t>
            </w:r>
          </w:p>
        </w:tc>
        <w:tc>
          <w:tcPr>
            <w:tcW w:w="1109" w:type="dxa"/>
            <w:tcBorders>
              <w:top w:val="nil"/>
              <w:left w:val="nil"/>
              <w:bottom w:val="single" w:sz="4" w:space="0" w:color="auto"/>
              <w:right w:val="nil"/>
            </w:tcBorders>
            <w:noWrap/>
            <w:vAlign w:val="center"/>
            <w:hideMark/>
          </w:tcPr>
          <w:p w:rsidR="00033BD7" w:rsidRPr="00033BD7" w:rsidRDefault="00033BD7" w:rsidP="00033BD7">
            <w:pPr>
              <w:rPr>
                <w:rFonts w:ascii="Tahoma" w:hAnsi="Tahoma" w:cs="Tahoma"/>
                <w:b/>
                <w:bCs/>
                <w:color w:val="000000"/>
                <w:szCs w:val="22"/>
              </w:rPr>
            </w:pPr>
          </w:p>
        </w:tc>
      </w:tr>
      <w:tr w:rsidR="00033BD7" w:rsidRPr="00033BD7" w:rsidTr="00033BD7">
        <w:trPr>
          <w:trHeight w:val="276"/>
        </w:trPr>
        <w:tc>
          <w:tcPr>
            <w:tcW w:w="5744" w:type="dxa"/>
            <w:tcBorders>
              <w:top w:val="single" w:sz="4" w:space="0" w:color="auto"/>
              <w:left w:val="single" w:sz="4" w:space="0" w:color="auto"/>
              <w:bottom w:val="nil"/>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Rata impozitului pe profit (t)</w:t>
            </w:r>
          </w:p>
        </w:tc>
        <w:tc>
          <w:tcPr>
            <w:tcW w:w="1109" w:type="dxa"/>
            <w:tcBorders>
              <w:top w:val="single" w:sz="4" w:space="0" w:color="auto"/>
              <w:left w:val="dotted" w:sz="4" w:space="0" w:color="auto"/>
              <w:bottom w:val="nil"/>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16</w:t>
            </w:r>
            <w:r w:rsidR="006E60EB">
              <w:rPr>
                <w:rFonts w:ascii="Tahoma" w:hAnsi="Tahoma" w:cs="Tahoma"/>
                <w:b/>
                <w:bCs/>
                <w:szCs w:val="22"/>
              </w:rPr>
              <w:t>,</w:t>
            </w:r>
            <w:r w:rsidRPr="00033BD7">
              <w:rPr>
                <w:rFonts w:ascii="Tahoma" w:hAnsi="Tahoma" w:cs="Tahoma"/>
                <w:b/>
                <w:bCs/>
                <w:szCs w:val="22"/>
              </w:rPr>
              <w:t>0%</w:t>
            </w:r>
          </w:p>
        </w:tc>
      </w:tr>
      <w:tr w:rsidR="00033BD7" w:rsidRPr="00033BD7" w:rsidTr="00033BD7">
        <w:trPr>
          <w:trHeight w:val="276"/>
        </w:trPr>
        <w:tc>
          <w:tcPr>
            <w:tcW w:w="5744" w:type="dxa"/>
            <w:tcBorders>
              <w:top w:val="nil"/>
              <w:left w:val="single" w:sz="4" w:space="0" w:color="auto"/>
              <w:bottom w:val="single" w:sz="4" w:space="0" w:color="auto"/>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Gradul de îndatorare (G)</w:t>
            </w:r>
          </w:p>
        </w:tc>
        <w:tc>
          <w:tcPr>
            <w:tcW w:w="1109" w:type="dxa"/>
            <w:tcBorders>
              <w:top w:val="nil"/>
              <w:left w:val="dotted" w:sz="4" w:space="0" w:color="auto"/>
              <w:bottom w:val="single" w:sz="4" w:space="0" w:color="auto"/>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40</w:t>
            </w:r>
            <w:r w:rsidR="006E60EB">
              <w:rPr>
                <w:rFonts w:ascii="Tahoma" w:hAnsi="Tahoma" w:cs="Tahoma"/>
                <w:b/>
                <w:bCs/>
                <w:szCs w:val="22"/>
              </w:rPr>
              <w:t>,</w:t>
            </w:r>
            <w:r w:rsidRPr="00033BD7">
              <w:rPr>
                <w:rFonts w:ascii="Tahoma" w:hAnsi="Tahoma" w:cs="Tahoma"/>
                <w:b/>
                <w:bCs/>
                <w:szCs w:val="22"/>
              </w:rPr>
              <w:t>13%</w:t>
            </w:r>
          </w:p>
        </w:tc>
      </w:tr>
      <w:tr w:rsidR="00033BD7" w:rsidRPr="00033BD7" w:rsidTr="00033BD7">
        <w:trPr>
          <w:trHeight w:val="276"/>
        </w:trPr>
        <w:tc>
          <w:tcPr>
            <w:tcW w:w="5744" w:type="dxa"/>
            <w:tcBorders>
              <w:top w:val="nil"/>
              <w:left w:val="nil"/>
              <w:bottom w:val="single" w:sz="4" w:space="0" w:color="auto"/>
              <w:right w:val="nil"/>
            </w:tcBorders>
            <w:noWrap/>
            <w:vAlign w:val="center"/>
            <w:hideMark/>
          </w:tcPr>
          <w:p w:rsidR="00033BD7" w:rsidRPr="00033BD7" w:rsidRDefault="00033BD7" w:rsidP="00033BD7">
            <w:pPr>
              <w:rPr>
                <w:rFonts w:ascii="Tahoma" w:hAnsi="Tahoma" w:cs="Tahoma"/>
                <w:b/>
                <w:bCs/>
                <w:color w:val="000000"/>
                <w:szCs w:val="22"/>
              </w:rPr>
            </w:pPr>
            <w:r w:rsidRPr="00033BD7">
              <w:rPr>
                <w:rFonts w:ascii="Tahoma" w:hAnsi="Tahoma" w:cs="Tahoma"/>
                <w:b/>
                <w:bCs/>
                <w:color w:val="000000"/>
                <w:szCs w:val="22"/>
              </w:rPr>
              <w:t>CMPC</w:t>
            </w:r>
          </w:p>
        </w:tc>
        <w:tc>
          <w:tcPr>
            <w:tcW w:w="1109" w:type="dxa"/>
            <w:tcBorders>
              <w:top w:val="nil"/>
              <w:left w:val="nil"/>
              <w:bottom w:val="single" w:sz="4" w:space="0" w:color="auto"/>
              <w:right w:val="nil"/>
            </w:tcBorders>
            <w:noWrap/>
            <w:vAlign w:val="center"/>
            <w:hideMark/>
          </w:tcPr>
          <w:p w:rsidR="00033BD7" w:rsidRPr="00033BD7" w:rsidRDefault="00033BD7" w:rsidP="00033BD7">
            <w:pPr>
              <w:rPr>
                <w:rFonts w:ascii="Tahoma" w:hAnsi="Tahoma" w:cs="Tahoma"/>
                <w:b/>
                <w:bCs/>
                <w:color w:val="000000"/>
                <w:szCs w:val="22"/>
              </w:rPr>
            </w:pPr>
          </w:p>
        </w:tc>
      </w:tr>
      <w:tr w:rsidR="00033BD7" w:rsidRPr="00033BD7" w:rsidTr="00033BD7">
        <w:trPr>
          <w:trHeight w:val="276"/>
        </w:trPr>
        <w:tc>
          <w:tcPr>
            <w:tcW w:w="5744" w:type="dxa"/>
            <w:tcBorders>
              <w:top w:val="nil"/>
              <w:left w:val="single" w:sz="4" w:space="0" w:color="auto"/>
              <w:bottom w:val="single" w:sz="4" w:space="0" w:color="auto"/>
              <w:right w:val="single" w:sz="4" w:space="0" w:color="auto"/>
            </w:tcBorders>
            <w:shd w:val="clear" w:color="000000" w:fill="D9E1F2"/>
            <w:noWrap/>
            <w:vAlign w:val="center"/>
            <w:hideMark/>
          </w:tcPr>
          <w:p w:rsidR="00033BD7" w:rsidRPr="00033BD7" w:rsidRDefault="00033BD7" w:rsidP="00033BD7">
            <w:pPr>
              <w:ind w:firstLineChars="200" w:firstLine="440"/>
              <w:rPr>
                <w:rFonts w:ascii="Tahoma" w:hAnsi="Tahoma" w:cs="Tahoma"/>
                <w:color w:val="000000"/>
                <w:szCs w:val="22"/>
              </w:rPr>
            </w:pPr>
            <w:r w:rsidRPr="00033BD7">
              <w:rPr>
                <w:rFonts w:ascii="Tahoma" w:hAnsi="Tahoma" w:cs="Tahoma"/>
                <w:color w:val="000000"/>
                <w:szCs w:val="22"/>
              </w:rPr>
              <w:t>CMPC nominal înainte de impozitare</w:t>
            </w:r>
          </w:p>
        </w:tc>
        <w:tc>
          <w:tcPr>
            <w:tcW w:w="1109" w:type="dxa"/>
            <w:tcBorders>
              <w:top w:val="single" w:sz="4" w:space="0" w:color="auto"/>
              <w:left w:val="nil"/>
              <w:bottom w:val="single" w:sz="4" w:space="0" w:color="auto"/>
              <w:right w:val="single" w:sz="4" w:space="0" w:color="auto"/>
            </w:tcBorders>
            <w:noWrap/>
            <w:vAlign w:val="center"/>
            <w:hideMark/>
          </w:tcPr>
          <w:p w:rsidR="00033BD7" w:rsidRPr="00033BD7" w:rsidRDefault="00033BD7" w:rsidP="00033BD7">
            <w:pPr>
              <w:jc w:val="center"/>
              <w:rPr>
                <w:rFonts w:ascii="Tahoma" w:hAnsi="Tahoma" w:cs="Tahoma"/>
                <w:b/>
                <w:bCs/>
                <w:szCs w:val="22"/>
              </w:rPr>
            </w:pPr>
            <w:r w:rsidRPr="00033BD7">
              <w:rPr>
                <w:rFonts w:ascii="Tahoma" w:hAnsi="Tahoma" w:cs="Tahoma"/>
                <w:b/>
                <w:bCs/>
                <w:szCs w:val="22"/>
              </w:rPr>
              <w:t>8</w:t>
            </w:r>
            <w:r w:rsidR="006E60EB">
              <w:rPr>
                <w:rFonts w:ascii="Tahoma" w:hAnsi="Tahoma" w:cs="Tahoma"/>
                <w:b/>
                <w:bCs/>
                <w:szCs w:val="22"/>
              </w:rPr>
              <w:t>,</w:t>
            </w:r>
            <w:r w:rsidR="00DD4926">
              <w:rPr>
                <w:rFonts w:ascii="Tahoma" w:hAnsi="Tahoma" w:cs="Tahoma"/>
                <w:b/>
                <w:bCs/>
                <w:szCs w:val="22"/>
              </w:rPr>
              <w:t>1</w:t>
            </w:r>
            <w:r w:rsidR="00B3696A">
              <w:rPr>
                <w:rFonts w:ascii="Tahoma" w:hAnsi="Tahoma" w:cs="Tahoma"/>
                <w:b/>
                <w:bCs/>
                <w:szCs w:val="22"/>
              </w:rPr>
              <w:t>4</w:t>
            </w:r>
            <w:r w:rsidRPr="00033BD7">
              <w:rPr>
                <w:rFonts w:ascii="Tahoma" w:hAnsi="Tahoma" w:cs="Tahoma"/>
                <w:b/>
                <w:bCs/>
                <w:szCs w:val="22"/>
              </w:rPr>
              <w:t>%</w:t>
            </w:r>
          </w:p>
        </w:tc>
      </w:tr>
    </w:tbl>
    <w:p w:rsidR="004B5A5D" w:rsidRPr="006E60EB" w:rsidRDefault="004B5A5D" w:rsidP="00F3293F">
      <w:pPr>
        <w:pStyle w:val="ListParagraph"/>
        <w:rPr>
          <w:rFonts w:ascii="Tahoma" w:hAnsi="Tahoma" w:cs="Tahoma"/>
          <w:sz w:val="22"/>
          <w:szCs w:val="22"/>
        </w:rPr>
      </w:pPr>
    </w:p>
    <w:sectPr w:rsidR="004B5A5D" w:rsidRPr="006E60EB" w:rsidSect="00B3696A">
      <w:headerReference w:type="default" r:id="rId11"/>
      <w:footerReference w:type="default" r:id="rId12"/>
      <w:pgSz w:w="12240" w:h="15840"/>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2FF9" w:rsidRDefault="000F2FF9" w:rsidP="00827800">
      <w:r>
        <w:separator/>
      </w:r>
    </w:p>
  </w:endnote>
  <w:endnote w:type="continuationSeparator" w:id="0">
    <w:p w:rsidR="000F2FF9" w:rsidRDefault="000F2FF9" w:rsidP="0082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896593"/>
      <w:docPartObj>
        <w:docPartGallery w:val="Page Numbers (Bottom of Page)"/>
        <w:docPartUnique/>
      </w:docPartObj>
    </w:sdtPr>
    <w:sdtEndPr>
      <w:rPr>
        <w:noProof/>
      </w:rPr>
    </w:sdtEndPr>
    <w:sdtContent>
      <w:p w:rsidR="00F3293F" w:rsidRDefault="00F329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3293F" w:rsidRDefault="00F32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2FF9" w:rsidRDefault="000F2FF9" w:rsidP="00827800">
      <w:r>
        <w:separator/>
      </w:r>
    </w:p>
  </w:footnote>
  <w:footnote w:type="continuationSeparator" w:id="0">
    <w:p w:rsidR="000F2FF9" w:rsidRDefault="000F2FF9" w:rsidP="00827800">
      <w:r>
        <w:continuationSeparator/>
      </w:r>
    </w:p>
  </w:footnote>
  <w:footnote w:id="1">
    <w:p w:rsidR="00827800" w:rsidRPr="00827800" w:rsidRDefault="00827800">
      <w:pPr>
        <w:pStyle w:val="FootnoteText"/>
        <w:rPr>
          <w:rFonts w:ascii="Tahoma" w:hAnsi="Tahoma" w:cs="Tahoma"/>
        </w:rPr>
      </w:pPr>
      <w:r w:rsidRPr="00827800">
        <w:rPr>
          <w:rStyle w:val="FootnoteReference"/>
          <w:rFonts w:ascii="Tahoma" w:hAnsi="Tahoma" w:cs="Tahoma"/>
        </w:rPr>
        <w:footnoteRef/>
      </w:r>
      <w:r w:rsidRPr="00827800">
        <w:rPr>
          <w:rFonts w:ascii="Tahoma" w:hAnsi="Tahoma" w:cs="Tahoma"/>
        </w:rPr>
        <w:t xml:space="preserve"> </w:t>
      </w:r>
      <w:hyperlink r:id="rId1" w:history="1">
        <w:r w:rsidRPr="00827800">
          <w:rPr>
            <w:rStyle w:val="Hyperlink"/>
            <w:rFonts w:ascii="Tahoma" w:hAnsi="Tahoma" w:cs="Tahoma"/>
          </w:rPr>
          <w:t>https://www.investing.com/rates-bonds</w:t>
        </w:r>
      </w:hyperlink>
    </w:p>
  </w:footnote>
  <w:footnote w:id="2">
    <w:p w:rsidR="00084F0F" w:rsidRPr="00F053BF" w:rsidRDefault="00084F0F" w:rsidP="00084F0F">
      <w:pPr>
        <w:pStyle w:val="FootnoteText"/>
        <w:jc w:val="both"/>
        <w:rPr>
          <w:rFonts w:ascii="Tahoma" w:hAnsi="Tahoma" w:cs="Tahoma"/>
        </w:rPr>
      </w:pPr>
      <w:r w:rsidRPr="00084F0F">
        <w:rPr>
          <w:rStyle w:val="FootnoteReference"/>
          <w:rFonts w:ascii="Tahoma" w:hAnsi="Tahoma" w:cs="Tahoma"/>
        </w:rPr>
        <w:footnoteRef/>
      </w:r>
      <w:r w:rsidRPr="00084F0F">
        <w:rPr>
          <w:rFonts w:ascii="Tahoma" w:hAnsi="Tahoma" w:cs="Tahoma"/>
        </w:rPr>
        <w:t xml:space="preserve"> </w:t>
      </w:r>
      <w:hyperlink r:id="rId2" w:history="1">
        <w:r w:rsidRPr="00084F0F">
          <w:rPr>
            <w:rStyle w:val="Hyperlink"/>
            <w:rFonts w:ascii="Tahoma" w:hAnsi="Tahoma" w:cs="Tahoma"/>
          </w:rPr>
          <w:t>https://berec.europa.eu/eng/document_register/subject_matter/berec/reports/8907-berec-report-regulatory-accounting-in-practice-2019-including-wacc-chapter</w:t>
        </w:r>
      </w:hyperlink>
    </w:p>
  </w:footnote>
  <w:footnote w:id="3">
    <w:p w:rsidR="003C154A" w:rsidRDefault="003C154A">
      <w:pPr>
        <w:pStyle w:val="FootnoteText"/>
      </w:pPr>
      <w:r>
        <w:rPr>
          <w:rStyle w:val="FootnoteReference"/>
        </w:rPr>
        <w:footnoteRef/>
      </w:r>
      <w:r w:rsidRPr="003C154A">
        <w:rPr>
          <w:rFonts w:ascii="Tahoma" w:hAnsi="Tahoma" w:cs="Tahoma"/>
        </w:rPr>
        <w:t xml:space="preserve"> </w:t>
      </w:r>
      <w:hyperlink r:id="rId3" w:history="1">
        <w:r w:rsidRPr="003C154A">
          <w:rPr>
            <w:rStyle w:val="Hyperlink"/>
            <w:rFonts w:ascii="Tahoma" w:hAnsi="Tahoma" w:cs="Tahoma"/>
          </w:rPr>
          <w:t>https://ec.europa.eu/info/business-economy-euro/euro-area/enlargement-euro-area/who-can-join-and-when_en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AB" w:rsidRDefault="00D74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043"/>
    <w:multiLevelType w:val="hybridMultilevel"/>
    <w:tmpl w:val="60B0BCE4"/>
    <w:lvl w:ilvl="0" w:tplc="8FDE9AFE">
      <w:start w:val="1"/>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DC066A"/>
    <w:multiLevelType w:val="multilevel"/>
    <w:tmpl w:val="C03C4FC4"/>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31507C"/>
    <w:multiLevelType w:val="hybridMultilevel"/>
    <w:tmpl w:val="A246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9425F"/>
    <w:multiLevelType w:val="hybridMultilevel"/>
    <w:tmpl w:val="1488FCCC"/>
    <w:lvl w:ilvl="0" w:tplc="C8D65C46">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5153308">
    <w:abstractNumId w:val="1"/>
  </w:num>
  <w:num w:numId="2" w16cid:durableId="321861147">
    <w:abstractNumId w:val="2"/>
  </w:num>
  <w:num w:numId="3" w16cid:durableId="1506748425">
    <w:abstractNumId w:val="3"/>
  </w:num>
  <w:num w:numId="4" w16cid:durableId="1473135465">
    <w:abstractNumId w:val="0"/>
  </w:num>
  <w:num w:numId="5" w16cid:durableId="116608022">
    <w:abstractNumId w:val="1"/>
  </w:num>
  <w:num w:numId="6" w16cid:durableId="732001199">
    <w:abstractNumId w:val="1"/>
  </w:num>
  <w:num w:numId="7" w16cid:durableId="1882980674">
    <w:abstractNumId w:val="1"/>
  </w:num>
  <w:num w:numId="8" w16cid:durableId="1378433926">
    <w:abstractNumId w:val="1"/>
  </w:num>
  <w:num w:numId="9" w16cid:durableId="2044792525">
    <w:abstractNumId w:val="1"/>
  </w:num>
  <w:num w:numId="10" w16cid:durableId="392194637">
    <w:abstractNumId w:val="1"/>
  </w:num>
  <w:num w:numId="11" w16cid:durableId="780415447">
    <w:abstractNumId w:val="1"/>
  </w:num>
  <w:num w:numId="12" w16cid:durableId="1675721280">
    <w:abstractNumId w:val="1"/>
  </w:num>
  <w:num w:numId="13" w16cid:durableId="168828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08"/>
    <w:rsid w:val="00033BD7"/>
    <w:rsid w:val="00041154"/>
    <w:rsid w:val="00050CC1"/>
    <w:rsid w:val="000567A4"/>
    <w:rsid w:val="00060F28"/>
    <w:rsid w:val="00071B97"/>
    <w:rsid w:val="00084F0F"/>
    <w:rsid w:val="00090E98"/>
    <w:rsid w:val="000F2FF9"/>
    <w:rsid w:val="00114B36"/>
    <w:rsid w:val="00150099"/>
    <w:rsid w:val="001712C8"/>
    <w:rsid w:val="00195B12"/>
    <w:rsid w:val="001A47DE"/>
    <w:rsid w:val="001A4CC3"/>
    <w:rsid w:val="001A554A"/>
    <w:rsid w:val="00242AC9"/>
    <w:rsid w:val="00244BD1"/>
    <w:rsid w:val="0025554C"/>
    <w:rsid w:val="00286696"/>
    <w:rsid w:val="00292AF8"/>
    <w:rsid w:val="002A155C"/>
    <w:rsid w:val="002E07A9"/>
    <w:rsid w:val="00303D82"/>
    <w:rsid w:val="003105B6"/>
    <w:rsid w:val="0033272E"/>
    <w:rsid w:val="00355F7A"/>
    <w:rsid w:val="003600FD"/>
    <w:rsid w:val="003706D2"/>
    <w:rsid w:val="00386B37"/>
    <w:rsid w:val="003905C2"/>
    <w:rsid w:val="00392C05"/>
    <w:rsid w:val="003A2E20"/>
    <w:rsid w:val="003A60B3"/>
    <w:rsid w:val="003C154A"/>
    <w:rsid w:val="003C3241"/>
    <w:rsid w:val="003D747C"/>
    <w:rsid w:val="003E538F"/>
    <w:rsid w:val="003F6C66"/>
    <w:rsid w:val="00406FBC"/>
    <w:rsid w:val="004417FF"/>
    <w:rsid w:val="004507AA"/>
    <w:rsid w:val="004537DA"/>
    <w:rsid w:val="0045734E"/>
    <w:rsid w:val="00460700"/>
    <w:rsid w:val="004667A4"/>
    <w:rsid w:val="004B5A5D"/>
    <w:rsid w:val="004C60B1"/>
    <w:rsid w:val="004D1FA3"/>
    <w:rsid w:val="004D4163"/>
    <w:rsid w:val="004F0651"/>
    <w:rsid w:val="004F5567"/>
    <w:rsid w:val="005022E9"/>
    <w:rsid w:val="00513D44"/>
    <w:rsid w:val="00543131"/>
    <w:rsid w:val="00543A9A"/>
    <w:rsid w:val="00557458"/>
    <w:rsid w:val="00581618"/>
    <w:rsid w:val="0059519B"/>
    <w:rsid w:val="005977D7"/>
    <w:rsid w:val="005A0C6A"/>
    <w:rsid w:val="005B0B16"/>
    <w:rsid w:val="005B7120"/>
    <w:rsid w:val="005E6384"/>
    <w:rsid w:val="005F5AC2"/>
    <w:rsid w:val="00613905"/>
    <w:rsid w:val="00614133"/>
    <w:rsid w:val="006202C5"/>
    <w:rsid w:val="00620FE2"/>
    <w:rsid w:val="00644EBA"/>
    <w:rsid w:val="00671C8C"/>
    <w:rsid w:val="006824F0"/>
    <w:rsid w:val="00690BD8"/>
    <w:rsid w:val="00695593"/>
    <w:rsid w:val="006975A4"/>
    <w:rsid w:val="006A6069"/>
    <w:rsid w:val="006C6E82"/>
    <w:rsid w:val="006D3918"/>
    <w:rsid w:val="006E0E02"/>
    <w:rsid w:val="006E60EB"/>
    <w:rsid w:val="007341BD"/>
    <w:rsid w:val="00736A31"/>
    <w:rsid w:val="00737317"/>
    <w:rsid w:val="00747DBA"/>
    <w:rsid w:val="00751A3F"/>
    <w:rsid w:val="00766F96"/>
    <w:rsid w:val="00784084"/>
    <w:rsid w:val="00797F2A"/>
    <w:rsid w:val="007E6D95"/>
    <w:rsid w:val="00805F77"/>
    <w:rsid w:val="00827800"/>
    <w:rsid w:val="008454A9"/>
    <w:rsid w:val="00854C8A"/>
    <w:rsid w:val="008670F9"/>
    <w:rsid w:val="008A1F0F"/>
    <w:rsid w:val="008A38E2"/>
    <w:rsid w:val="008C06DC"/>
    <w:rsid w:val="008F2981"/>
    <w:rsid w:val="0090374E"/>
    <w:rsid w:val="00903A78"/>
    <w:rsid w:val="00921281"/>
    <w:rsid w:val="00923800"/>
    <w:rsid w:val="0093150D"/>
    <w:rsid w:val="00932A6E"/>
    <w:rsid w:val="0096033B"/>
    <w:rsid w:val="0097332E"/>
    <w:rsid w:val="009847F2"/>
    <w:rsid w:val="00987575"/>
    <w:rsid w:val="009F6198"/>
    <w:rsid w:val="009F78A4"/>
    <w:rsid w:val="00A16655"/>
    <w:rsid w:val="00A31AE4"/>
    <w:rsid w:val="00A41EC6"/>
    <w:rsid w:val="00A657E5"/>
    <w:rsid w:val="00A90F90"/>
    <w:rsid w:val="00A953E1"/>
    <w:rsid w:val="00AD50B2"/>
    <w:rsid w:val="00AE3B63"/>
    <w:rsid w:val="00B3061C"/>
    <w:rsid w:val="00B3696A"/>
    <w:rsid w:val="00B47196"/>
    <w:rsid w:val="00B50431"/>
    <w:rsid w:val="00B622DA"/>
    <w:rsid w:val="00B868D8"/>
    <w:rsid w:val="00B97227"/>
    <w:rsid w:val="00BA0585"/>
    <w:rsid w:val="00C03469"/>
    <w:rsid w:val="00C14508"/>
    <w:rsid w:val="00C56882"/>
    <w:rsid w:val="00C61369"/>
    <w:rsid w:val="00C77A9D"/>
    <w:rsid w:val="00C9369F"/>
    <w:rsid w:val="00CA3D41"/>
    <w:rsid w:val="00CB4F97"/>
    <w:rsid w:val="00CC5C30"/>
    <w:rsid w:val="00CD14AC"/>
    <w:rsid w:val="00D2035F"/>
    <w:rsid w:val="00D3641C"/>
    <w:rsid w:val="00D620B7"/>
    <w:rsid w:val="00D641D0"/>
    <w:rsid w:val="00D7349F"/>
    <w:rsid w:val="00D741AB"/>
    <w:rsid w:val="00D8443B"/>
    <w:rsid w:val="00D9012C"/>
    <w:rsid w:val="00DA6AEB"/>
    <w:rsid w:val="00DB31BC"/>
    <w:rsid w:val="00DB5FD0"/>
    <w:rsid w:val="00DD4926"/>
    <w:rsid w:val="00DD4997"/>
    <w:rsid w:val="00DE2DDC"/>
    <w:rsid w:val="00DE3E9B"/>
    <w:rsid w:val="00DE65AE"/>
    <w:rsid w:val="00E14E7D"/>
    <w:rsid w:val="00E158CB"/>
    <w:rsid w:val="00E22CA1"/>
    <w:rsid w:val="00E43909"/>
    <w:rsid w:val="00E522BD"/>
    <w:rsid w:val="00E56323"/>
    <w:rsid w:val="00EA3C79"/>
    <w:rsid w:val="00EA5E4F"/>
    <w:rsid w:val="00EB3629"/>
    <w:rsid w:val="00EC2D9E"/>
    <w:rsid w:val="00EC33C8"/>
    <w:rsid w:val="00EE7393"/>
    <w:rsid w:val="00F017A8"/>
    <w:rsid w:val="00F01ABB"/>
    <w:rsid w:val="00F053BF"/>
    <w:rsid w:val="00F17F79"/>
    <w:rsid w:val="00F2552C"/>
    <w:rsid w:val="00F26742"/>
    <w:rsid w:val="00F3293F"/>
    <w:rsid w:val="00F47E82"/>
    <w:rsid w:val="00F61C1E"/>
    <w:rsid w:val="00F803BF"/>
    <w:rsid w:val="00F8669E"/>
    <w:rsid w:val="00FA2A15"/>
    <w:rsid w:val="00FA6C4C"/>
    <w:rsid w:val="00FB1B69"/>
    <w:rsid w:val="00FB679F"/>
    <w:rsid w:val="00FD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31AA"/>
  <w15:chartTrackingRefBased/>
  <w15:docId w15:val="{46450ACD-04E6-4FCA-B634-D2879D60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08"/>
    <w:pPr>
      <w:spacing w:after="0" w:line="240" w:lineRule="auto"/>
    </w:pPr>
    <w:rPr>
      <w:rFonts w:ascii="Arial" w:eastAsia="Times New Roman" w:hAnsi="Arial" w:cs="Times New Roman"/>
      <w:szCs w:val="20"/>
      <w:lang w:val="ro-RO"/>
    </w:rPr>
  </w:style>
  <w:style w:type="paragraph" w:styleId="Heading1">
    <w:name w:val="heading 1"/>
    <w:basedOn w:val="Heading2"/>
    <w:next w:val="BodyText"/>
    <w:link w:val="Heading1Char"/>
    <w:qFormat/>
    <w:rsid w:val="00C14508"/>
    <w:pPr>
      <w:pageBreakBefore/>
      <w:numPr>
        <w:ilvl w:val="0"/>
      </w:numPr>
      <w:spacing w:before="0" w:line="360" w:lineRule="exact"/>
      <w:outlineLvl w:val="0"/>
    </w:pPr>
    <w:rPr>
      <w:sz w:val="32"/>
    </w:rPr>
  </w:style>
  <w:style w:type="paragraph" w:styleId="Heading2">
    <w:name w:val="heading 2"/>
    <w:basedOn w:val="BodyText"/>
    <w:next w:val="BodyText"/>
    <w:link w:val="Heading2Char"/>
    <w:qFormat/>
    <w:rsid w:val="00C14508"/>
    <w:pPr>
      <w:keepNext/>
      <w:numPr>
        <w:ilvl w:val="1"/>
        <w:numId w:val="1"/>
      </w:numPr>
      <w:spacing w:before="400" w:after="0" w:line="320" w:lineRule="exact"/>
      <w:outlineLvl w:val="1"/>
    </w:pPr>
    <w:rPr>
      <w:b/>
      <w:color w:val="00338D"/>
      <w:sz w:val="28"/>
    </w:rPr>
  </w:style>
  <w:style w:type="paragraph" w:styleId="Heading3">
    <w:name w:val="heading 3"/>
    <w:basedOn w:val="Heading4"/>
    <w:next w:val="BodyText"/>
    <w:link w:val="Heading3Char"/>
    <w:qFormat/>
    <w:rsid w:val="00C14508"/>
    <w:pPr>
      <w:numPr>
        <w:ilvl w:val="2"/>
      </w:numPr>
      <w:outlineLvl w:val="2"/>
    </w:pPr>
    <w:rPr>
      <w:b/>
      <w:i w:val="0"/>
    </w:rPr>
  </w:style>
  <w:style w:type="paragraph" w:styleId="Heading4">
    <w:name w:val="heading 4"/>
    <w:basedOn w:val="Heading5"/>
    <w:next w:val="BodyText"/>
    <w:link w:val="Heading4Char"/>
    <w:qFormat/>
    <w:rsid w:val="00C14508"/>
    <w:pPr>
      <w:keepLines w:val="0"/>
      <w:numPr>
        <w:ilvl w:val="3"/>
        <w:numId w:val="1"/>
      </w:numPr>
      <w:spacing w:before="400" w:line="280" w:lineRule="exact"/>
      <w:outlineLvl w:val="3"/>
    </w:pPr>
    <w:rPr>
      <w:rFonts w:ascii="Arial" w:eastAsia="Times New Roman" w:hAnsi="Arial" w:cs="Times New Roman"/>
      <w:i/>
      <w:color w:val="00338D"/>
      <w:sz w:val="24"/>
    </w:rPr>
  </w:style>
  <w:style w:type="paragraph" w:styleId="Heading5">
    <w:name w:val="heading 5"/>
    <w:basedOn w:val="Normal"/>
    <w:next w:val="Normal"/>
    <w:link w:val="Heading5Char"/>
    <w:uiPriority w:val="9"/>
    <w:semiHidden/>
    <w:unhideWhenUsed/>
    <w:qFormat/>
    <w:rsid w:val="00C145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4508"/>
    <w:rPr>
      <w:rFonts w:ascii="Arial" w:eastAsia="Times New Roman" w:hAnsi="Arial" w:cs="Times New Roman"/>
      <w:b/>
      <w:color w:val="00338D"/>
      <w:sz w:val="32"/>
      <w:szCs w:val="20"/>
      <w:lang w:val="ro-RO"/>
    </w:rPr>
  </w:style>
  <w:style w:type="character" w:customStyle="1" w:styleId="Heading2Char">
    <w:name w:val="Heading 2 Char"/>
    <w:basedOn w:val="DefaultParagraphFont"/>
    <w:link w:val="Heading2"/>
    <w:rsid w:val="00C14508"/>
    <w:rPr>
      <w:rFonts w:ascii="Arial" w:eastAsia="Times New Roman" w:hAnsi="Arial" w:cs="Times New Roman"/>
      <w:b/>
      <w:color w:val="00338D"/>
      <w:sz w:val="28"/>
      <w:szCs w:val="20"/>
      <w:lang w:val="ro-RO"/>
    </w:rPr>
  </w:style>
  <w:style w:type="character" w:customStyle="1" w:styleId="Heading3Char">
    <w:name w:val="Heading 3 Char"/>
    <w:basedOn w:val="DefaultParagraphFont"/>
    <w:link w:val="Heading3"/>
    <w:rsid w:val="00C14508"/>
    <w:rPr>
      <w:rFonts w:ascii="Arial" w:eastAsia="Times New Roman" w:hAnsi="Arial" w:cs="Times New Roman"/>
      <w:b/>
      <w:color w:val="00338D"/>
      <w:sz w:val="24"/>
      <w:szCs w:val="20"/>
      <w:lang w:val="ro-RO"/>
    </w:rPr>
  </w:style>
  <w:style w:type="character" w:customStyle="1" w:styleId="Heading4Char">
    <w:name w:val="Heading 4 Char"/>
    <w:basedOn w:val="DefaultParagraphFont"/>
    <w:link w:val="Heading4"/>
    <w:rsid w:val="00C14508"/>
    <w:rPr>
      <w:rFonts w:ascii="Arial" w:eastAsia="Times New Roman" w:hAnsi="Arial" w:cs="Times New Roman"/>
      <w:i/>
      <w:color w:val="00338D"/>
      <w:sz w:val="24"/>
      <w:szCs w:val="20"/>
      <w:lang w:val="ro-RO"/>
    </w:rPr>
  </w:style>
  <w:style w:type="paragraph" w:styleId="BodyText">
    <w:name w:val="Body Text"/>
    <w:basedOn w:val="Normal"/>
    <w:link w:val="BodyTextChar"/>
    <w:uiPriority w:val="99"/>
    <w:semiHidden/>
    <w:unhideWhenUsed/>
    <w:rsid w:val="00C14508"/>
    <w:pPr>
      <w:spacing w:after="120"/>
    </w:pPr>
  </w:style>
  <w:style w:type="character" w:customStyle="1" w:styleId="BodyTextChar">
    <w:name w:val="Body Text Char"/>
    <w:basedOn w:val="DefaultParagraphFont"/>
    <w:link w:val="BodyText"/>
    <w:uiPriority w:val="99"/>
    <w:semiHidden/>
    <w:rsid w:val="00C14508"/>
    <w:rPr>
      <w:rFonts w:ascii="Arial" w:eastAsia="Times New Roman" w:hAnsi="Arial" w:cs="Times New Roman"/>
      <w:szCs w:val="20"/>
      <w:lang w:val="ro-RO"/>
    </w:rPr>
  </w:style>
  <w:style w:type="character" w:customStyle="1" w:styleId="Heading5Char">
    <w:name w:val="Heading 5 Char"/>
    <w:basedOn w:val="DefaultParagraphFont"/>
    <w:link w:val="Heading5"/>
    <w:uiPriority w:val="9"/>
    <w:semiHidden/>
    <w:rsid w:val="00C14508"/>
    <w:rPr>
      <w:rFonts w:asciiTheme="majorHAnsi" w:eastAsiaTheme="majorEastAsia" w:hAnsiTheme="majorHAnsi" w:cstheme="majorBidi"/>
      <w:color w:val="2F5496" w:themeColor="accent1" w:themeShade="BF"/>
      <w:szCs w:val="20"/>
      <w:lang w:val="ro-RO"/>
    </w:rPr>
  </w:style>
  <w:style w:type="character" w:styleId="CommentReference">
    <w:name w:val="annotation reference"/>
    <w:basedOn w:val="DefaultParagraphFont"/>
    <w:uiPriority w:val="99"/>
    <w:semiHidden/>
    <w:unhideWhenUsed/>
    <w:rsid w:val="00C14508"/>
    <w:rPr>
      <w:sz w:val="16"/>
      <w:szCs w:val="16"/>
    </w:rPr>
  </w:style>
  <w:style w:type="paragraph" w:styleId="CommentText">
    <w:name w:val="annotation text"/>
    <w:basedOn w:val="Normal"/>
    <w:link w:val="CommentTextChar"/>
    <w:uiPriority w:val="99"/>
    <w:semiHidden/>
    <w:unhideWhenUsed/>
    <w:rsid w:val="00C14508"/>
    <w:rPr>
      <w:sz w:val="20"/>
    </w:rPr>
  </w:style>
  <w:style w:type="character" w:customStyle="1" w:styleId="CommentTextChar">
    <w:name w:val="Comment Text Char"/>
    <w:basedOn w:val="DefaultParagraphFont"/>
    <w:link w:val="CommentText"/>
    <w:uiPriority w:val="99"/>
    <w:semiHidden/>
    <w:rsid w:val="00C14508"/>
    <w:rPr>
      <w:rFonts w:ascii="Arial" w:eastAsia="Times New Roman" w:hAnsi="Arial"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14508"/>
    <w:rPr>
      <w:b/>
      <w:bCs/>
    </w:rPr>
  </w:style>
  <w:style w:type="character" w:customStyle="1" w:styleId="CommentSubjectChar">
    <w:name w:val="Comment Subject Char"/>
    <w:basedOn w:val="CommentTextChar"/>
    <w:link w:val="CommentSubject"/>
    <w:uiPriority w:val="99"/>
    <w:semiHidden/>
    <w:rsid w:val="00C14508"/>
    <w:rPr>
      <w:rFonts w:ascii="Arial" w:eastAsia="Times New Roman" w:hAnsi="Arial" w:cs="Times New Roman"/>
      <w:b/>
      <w:bCs/>
      <w:sz w:val="20"/>
      <w:szCs w:val="20"/>
      <w:lang w:val="ro-RO"/>
    </w:rPr>
  </w:style>
  <w:style w:type="paragraph" w:styleId="BalloonText">
    <w:name w:val="Balloon Text"/>
    <w:basedOn w:val="Normal"/>
    <w:link w:val="BalloonTextChar"/>
    <w:uiPriority w:val="99"/>
    <w:semiHidden/>
    <w:unhideWhenUsed/>
    <w:rsid w:val="00C145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08"/>
    <w:rPr>
      <w:rFonts w:ascii="Segoe UI" w:eastAsia="Times New Roman" w:hAnsi="Segoe UI" w:cs="Segoe UI"/>
      <w:sz w:val="18"/>
      <w:szCs w:val="18"/>
      <w:lang w:val="ro-RO"/>
    </w:rPr>
  </w:style>
  <w:style w:type="character" w:styleId="Hyperlink">
    <w:name w:val="Hyperlink"/>
    <w:basedOn w:val="DefaultParagraphFont"/>
    <w:uiPriority w:val="99"/>
    <w:unhideWhenUsed/>
    <w:rsid w:val="00C14508"/>
    <w:rPr>
      <w:color w:val="0563C1" w:themeColor="hyperlink"/>
      <w:u w:val="single"/>
    </w:rPr>
  </w:style>
  <w:style w:type="paragraph" w:styleId="ListParagraph">
    <w:name w:val="List Paragraph"/>
    <w:basedOn w:val="Normal"/>
    <w:uiPriority w:val="34"/>
    <w:qFormat/>
    <w:rsid w:val="00C14508"/>
    <w:pPr>
      <w:ind w:left="720"/>
      <w:contextualSpacing/>
    </w:pPr>
    <w:rPr>
      <w:rFonts w:ascii="MS Sans Serif" w:hAnsi="MS Sans Serif"/>
      <w:sz w:val="20"/>
      <w:lang w:eastAsia="zh-CN"/>
    </w:rPr>
  </w:style>
  <w:style w:type="paragraph" w:styleId="FootnoteText">
    <w:name w:val="footnote text"/>
    <w:basedOn w:val="Normal"/>
    <w:link w:val="FootnoteTextChar"/>
    <w:uiPriority w:val="99"/>
    <w:semiHidden/>
    <w:unhideWhenUsed/>
    <w:rsid w:val="00827800"/>
    <w:rPr>
      <w:sz w:val="20"/>
    </w:rPr>
  </w:style>
  <w:style w:type="character" w:customStyle="1" w:styleId="FootnoteTextChar">
    <w:name w:val="Footnote Text Char"/>
    <w:basedOn w:val="DefaultParagraphFont"/>
    <w:link w:val="FootnoteText"/>
    <w:uiPriority w:val="99"/>
    <w:semiHidden/>
    <w:rsid w:val="00827800"/>
    <w:rPr>
      <w:rFonts w:ascii="Arial" w:eastAsia="Times New Roman" w:hAnsi="Arial" w:cs="Times New Roman"/>
      <w:sz w:val="20"/>
      <w:szCs w:val="20"/>
      <w:lang w:val="ro-RO"/>
    </w:rPr>
  </w:style>
  <w:style w:type="character" w:styleId="FootnoteReference">
    <w:name w:val="footnote reference"/>
    <w:basedOn w:val="DefaultParagraphFont"/>
    <w:uiPriority w:val="99"/>
    <w:semiHidden/>
    <w:unhideWhenUsed/>
    <w:rsid w:val="00827800"/>
    <w:rPr>
      <w:vertAlign w:val="superscript"/>
    </w:rPr>
  </w:style>
  <w:style w:type="character" w:styleId="FollowedHyperlink">
    <w:name w:val="FollowedHyperlink"/>
    <w:basedOn w:val="DefaultParagraphFont"/>
    <w:uiPriority w:val="99"/>
    <w:semiHidden/>
    <w:unhideWhenUsed/>
    <w:rsid w:val="00F053BF"/>
    <w:rPr>
      <w:color w:val="954F72" w:themeColor="followedHyperlink"/>
      <w:u w:val="single"/>
    </w:rPr>
  </w:style>
  <w:style w:type="paragraph" w:styleId="Revision">
    <w:name w:val="Revision"/>
    <w:hidden/>
    <w:uiPriority w:val="99"/>
    <w:semiHidden/>
    <w:rsid w:val="002A155C"/>
    <w:pPr>
      <w:spacing w:after="0" w:line="240" w:lineRule="auto"/>
    </w:pPr>
    <w:rPr>
      <w:rFonts w:ascii="Arial" w:eastAsia="Times New Roman" w:hAnsi="Arial" w:cs="Times New Roman"/>
      <w:szCs w:val="20"/>
      <w:lang w:val="ro-RO"/>
    </w:rPr>
  </w:style>
  <w:style w:type="character" w:styleId="Strong">
    <w:name w:val="Strong"/>
    <w:basedOn w:val="DefaultParagraphFont"/>
    <w:uiPriority w:val="22"/>
    <w:qFormat/>
    <w:rsid w:val="0059519B"/>
    <w:rPr>
      <w:b/>
      <w:bCs/>
    </w:rPr>
  </w:style>
  <w:style w:type="character" w:styleId="UnresolvedMention">
    <w:name w:val="Unresolved Mention"/>
    <w:basedOn w:val="DefaultParagraphFont"/>
    <w:uiPriority w:val="99"/>
    <w:semiHidden/>
    <w:unhideWhenUsed/>
    <w:rsid w:val="0059519B"/>
    <w:rPr>
      <w:color w:val="605E5C"/>
      <w:shd w:val="clear" w:color="auto" w:fill="E1DFDD"/>
    </w:rPr>
  </w:style>
  <w:style w:type="paragraph" w:styleId="Header">
    <w:name w:val="header"/>
    <w:basedOn w:val="Normal"/>
    <w:link w:val="HeaderChar"/>
    <w:uiPriority w:val="99"/>
    <w:unhideWhenUsed/>
    <w:rsid w:val="00F3293F"/>
    <w:pPr>
      <w:tabs>
        <w:tab w:val="center" w:pos="4680"/>
        <w:tab w:val="right" w:pos="9360"/>
      </w:tabs>
    </w:pPr>
  </w:style>
  <w:style w:type="character" w:customStyle="1" w:styleId="HeaderChar">
    <w:name w:val="Header Char"/>
    <w:basedOn w:val="DefaultParagraphFont"/>
    <w:link w:val="Header"/>
    <w:uiPriority w:val="99"/>
    <w:rsid w:val="00F3293F"/>
    <w:rPr>
      <w:rFonts w:ascii="Arial" w:eastAsia="Times New Roman" w:hAnsi="Arial" w:cs="Times New Roman"/>
      <w:szCs w:val="20"/>
      <w:lang w:val="ro-RO"/>
    </w:rPr>
  </w:style>
  <w:style w:type="paragraph" w:styleId="Footer">
    <w:name w:val="footer"/>
    <w:basedOn w:val="Normal"/>
    <w:link w:val="FooterChar"/>
    <w:uiPriority w:val="99"/>
    <w:unhideWhenUsed/>
    <w:rsid w:val="00F3293F"/>
    <w:pPr>
      <w:tabs>
        <w:tab w:val="center" w:pos="4680"/>
        <w:tab w:val="right" w:pos="9360"/>
      </w:tabs>
    </w:pPr>
  </w:style>
  <w:style w:type="character" w:customStyle="1" w:styleId="FooterChar">
    <w:name w:val="Footer Char"/>
    <w:basedOn w:val="DefaultParagraphFont"/>
    <w:link w:val="Footer"/>
    <w:uiPriority w:val="99"/>
    <w:rsid w:val="00F3293F"/>
    <w:rPr>
      <w:rFonts w:ascii="Arial" w:eastAsia="Times New Roman" w:hAnsi="Arial" w:cs="Times New Roman"/>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19754">
      <w:bodyDiv w:val="1"/>
      <w:marLeft w:val="0"/>
      <w:marRight w:val="0"/>
      <w:marTop w:val="0"/>
      <w:marBottom w:val="0"/>
      <w:divBdr>
        <w:top w:val="none" w:sz="0" w:space="0" w:color="auto"/>
        <w:left w:val="none" w:sz="0" w:space="0" w:color="auto"/>
        <w:bottom w:val="none" w:sz="0" w:space="0" w:color="auto"/>
        <w:right w:val="none" w:sz="0" w:space="0" w:color="auto"/>
      </w:divBdr>
    </w:div>
    <w:div w:id="1369258649">
      <w:bodyDiv w:val="1"/>
      <w:marLeft w:val="0"/>
      <w:marRight w:val="0"/>
      <w:marTop w:val="0"/>
      <w:marBottom w:val="0"/>
      <w:divBdr>
        <w:top w:val="none" w:sz="0" w:space="0" w:color="auto"/>
        <w:left w:val="none" w:sz="0" w:space="0" w:color="auto"/>
        <w:bottom w:val="none" w:sz="0" w:space="0" w:color="auto"/>
        <w:right w:val="none" w:sz="0" w:space="0" w:color="auto"/>
      </w:divBdr>
    </w:div>
    <w:div w:id="1506435089">
      <w:bodyDiv w:val="1"/>
      <w:marLeft w:val="0"/>
      <w:marRight w:val="0"/>
      <w:marTop w:val="0"/>
      <w:marBottom w:val="0"/>
      <w:divBdr>
        <w:top w:val="none" w:sz="0" w:space="0" w:color="auto"/>
        <w:left w:val="none" w:sz="0" w:space="0" w:color="auto"/>
        <w:bottom w:val="none" w:sz="0" w:space="0" w:color="auto"/>
        <w:right w:val="none" w:sz="0" w:space="0" w:color="auto"/>
      </w:divBdr>
    </w:div>
    <w:div w:id="172656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ages.stern.nyu.edu/" TargetMode="External"/><Relationship Id="rId4" Type="http://schemas.openxmlformats.org/officeDocument/2006/relationships/settings" Target="settings.xml"/><Relationship Id="rId9" Type="http://schemas.openxmlformats.org/officeDocument/2006/relationships/hyperlink" Target="http://pages.stern.nyu.ed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business-economy-euro/euro-area/enlargement-euro-area/who-can-join-and-when_en" TargetMode="External"/><Relationship Id="rId2" Type="http://schemas.openxmlformats.org/officeDocument/2006/relationships/hyperlink" Target="https://berec.europa.eu/eng/document_register/subject_matter/berec/reports/8907-berec-report-regulatory-accounting-in-practice-2019-including-wacc-chapter" TargetMode="External"/><Relationship Id="rId1" Type="http://schemas.openxmlformats.org/officeDocument/2006/relationships/hyperlink" Target="https://www.investing.com/rates-bonds/germany-10-year-bond-yield-historic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94E96-20F5-4B03-A975-753FF866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Ionela Cirjan</dc:creator>
  <cp:keywords/>
  <dc:description/>
  <cp:lastModifiedBy>Alina Florentina Disli</cp:lastModifiedBy>
  <cp:revision>1</cp:revision>
  <dcterms:created xsi:type="dcterms:W3CDTF">2026-02-11T13:00:00Z</dcterms:created>
  <dcterms:modified xsi:type="dcterms:W3CDTF">2026-02-11T13:00:00Z</dcterms:modified>
</cp:coreProperties>
</file>