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B3A3" w14:textId="2DD22E24" w:rsidR="00471009" w:rsidRPr="00A00E12" w:rsidRDefault="00DA1238" w:rsidP="00774686">
      <w:pPr>
        <w:rPr>
          <w:rFonts w:ascii="Arial" w:hAnsi="Arial" w:cs="Arial"/>
          <w:lang w:val="en-US"/>
        </w:rPr>
      </w:pPr>
      <w:r w:rsidRPr="00A00E12">
        <w:rPr>
          <w:noProof/>
          <w:lang w:val="en-US"/>
        </w:rPr>
        <w:drawing>
          <wp:anchor distT="0" distB="0" distL="114300" distR="114300" simplePos="0" relativeHeight="251658240" behindDoc="1" locked="0" layoutInCell="1" allowOverlap="1" wp14:anchorId="7340E362" wp14:editId="73DACF93">
            <wp:simplePos x="0" y="0"/>
            <wp:positionH relativeFrom="margin">
              <wp:align>right</wp:align>
            </wp:positionH>
            <wp:positionV relativeFrom="paragraph">
              <wp:posOffset>-390881</wp:posOffset>
            </wp:positionV>
            <wp:extent cx="6120765" cy="503555"/>
            <wp:effectExtent l="0" t="0" r="0" b="0"/>
            <wp:wrapNone/>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503555"/>
                    </a:xfrm>
                    <a:prstGeom prst="rect">
                      <a:avLst/>
                    </a:prstGeom>
                  </pic:spPr>
                </pic:pic>
              </a:graphicData>
            </a:graphic>
          </wp:anchor>
        </w:drawing>
      </w:r>
    </w:p>
    <w:p w14:paraId="1F574D4F" w14:textId="77777777" w:rsidR="00FE1241" w:rsidRPr="00A00E12" w:rsidRDefault="00FE1241" w:rsidP="00774686">
      <w:pPr>
        <w:rPr>
          <w:rFonts w:ascii="Arial" w:hAnsi="Arial" w:cs="Arial"/>
          <w:lang w:val="en-US"/>
        </w:rPr>
      </w:pPr>
    </w:p>
    <w:p w14:paraId="733D820C" w14:textId="77777777" w:rsidR="00FE1241" w:rsidRPr="00A00E12" w:rsidRDefault="00FE1241" w:rsidP="00FE1241">
      <w:pPr>
        <w:jc w:val="center"/>
        <w:rPr>
          <w:rFonts w:ascii="Arial" w:hAnsi="Arial" w:cs="Arial"/>
          <w:b/>
          <w:lang w:val="en-US"/>
        </w:rPr>
      </w:pPr>
    </w:p>
    <w:p w14:paraId="19B308F6" w14:textId="77777777" w:rsidR="00FE1241" w:rsidRPr="00A00E12" w:rsidRDefault="00FE1241" w:rsidP="00FE1241">
      <w:pPr>
        <w:jc w:val="center"/>
        <w:rPr>
          <w:rFonts w:ascii="Arial" w:hAnsi="Arial" w:cs="Arial"/>
          <w:b/>
          <w:lang w:val="en-US"/>
        </w:rPr>
      </w:pPr>
    </w:p>
    <w:p w14:paraId="046B8FED" w14:textId="77777777" w:rsidR="00FE1241" w:rsidRPr="00A00E12" w:rsidRDefault="00FE1241" w:rsidP="00FE1241">
      <w:pPr>
        <w:jc w:val="center"/>
        <w:rPr>
          <w:rFonts w:ascii="Arial" w:hAnsi="Arial" w:cs="Arial"/>
          <w:b/>
          <w:lang w:val="en-US"/>
        </w:rPr>
      </w:pPr>
    </w:p>
    <w:p w14:paraId="2D7D204F" w14:textId="77777777" w:rsidR="00FE1241" w:rsidRPr="00A00E12" w:rsidRDefault="00FE1241" w:rsidP="00FE1241">
      <w:pPr>
        <w:jc w:val="center"/>
        <w:rPr>
          <w:rFonts w:ascii="Arial" w:hAnsi="Arial" w:cs="Arial"/>
          <w:b/>
          <w:lang w:val="en-US"/>
        </w:rPr>
      </w:pPr>
    </w:p>
    <w:p w14:paraId="344D4CCB" w14:textId="77777777" w:rsidR="00683A78" w:rsidRPr="00A00E12" w:rsidRDefault="00683A78" w:rsidP="00FE1241">
      <w:pPr>
        <w:jc w:val="center"/>
        <w:rPr>
          <w:rFonts w:ascii="Arial" w:hAnsi="Arial" w:cs="Arial"/>
          <w:b/>
          <w:lang w:val="en-US"/>
        </w:rPr>
      </w:pPr>
    </w:p>
    <w:p w14:paraId="1487D646" w14:textId="77777777" w:rsidR="00683A78" w:rsidRPr="00A00E12" w:rsidRDefault="00683A78" w:rsidP="00FE1241">
      <w:pPr>
        <w:jc w:val="center"/>
        <w:rPr>
          <w:rFonts w:ascii="Arial" w:hAnsi="Arial" w:cs="Arial"/>
          <w:b/>
          <w:lang w:val="en-US"/>
        </w:rPr>
      </w:pPr>
    </w:p>
    <w:p w14:paraId="3A33FCB1" w14:textId="77777777" w:rsidR="00FE1241" w:rsidRPr="00A00E12" w:rsidRDefault="00FE1241" w:rsidP="00FE1241">
      <w:pPr>
        <w:jc w:val="center"/>
        <w:rPr>
          <w:rFonts w:ascii="Tahoma" w:hAnsi="Tahoma" w:cs="Tahoma"/>
          <w:b/>
          <w:sz w:val="24"/>
          <w:szCs w:val="24"/>
          <w:lang w:val="en-US"/>
        </w:rPr>
      </w:pPr>
    </w:p>
    <w:p w14:paraId="7771F427" w14:textId="77777777" w:rsidR="009019AA" w:rsidRPr="00A00E12" w:rsidRDefault="009019AA" w:rsidP="00FE1241">
      <w:pPr>
        <w:jc w:val="center"/>
        <w:rPr>
          <w:rFonts w:ascii="Tahoma" w:hAnsi="Tahoma" w:cs="Tahoma"/>
          <w:b/>
          <w:sz w:val="24"/>
          <w:szCs w:val="24"/>
          <w:lang w:val="en-US"/>
        </w:rPr>
      </w:pPr>
    </w:p>
    <w:p w14:paraId="69B084E9" w14:textId="77777777" w:rsidR="009019AA" w:rsidRPr="00A00E12" w:rsidRDefault="009019AA" w:rsidP="00DA1238">
      <w:pPr>
        <w:rPr>
          <w:rFonts w:ascii="Tahoma" w:hAnsi="Tahoma" w:cs="Tahoma"/>
          <w:b/>
          <w:sz w:val="24"/>
          <w:szCs w:val="24"/>
          <w:lang w:val="en-US"/>
        </w:rPr>
      </w:pPr>
    </w:p>
    <w:p w14:paraId="33E7CB84" w14:textId="77777777" w:rsidR="009019AA" w:rsidRPr="00A00E12" w:rsidRDefault="009019AA" w:rsidP="00FE1241">
      <w:pPr>
        <w:jc w:val="center"/>
        <w:rPr>
          <w:rFonts w:ascii="Tahoma" w:hAnsi="Tahoma" w:cs="Tahoma"/>
          <w:b/>
          <w:sz w:val="24"/>
          <w:szCs w:val="24"/>
          <w:lang w:val="en-US"/>
        </w:rPr>
      </w:pPr>
    </w:p>
    <w:p w14:paraId="5E775DDE" w14:textId="4E46E2C7" w:rsidR="009019AA" w:rsidRPr="00A00E12" w:rsidRDefault="009019AA" w:rsidP="009019AA">
      <w:pPr>
        <w:pStyle w:val="BodyText2"/>
        <w:jc w:val="center"/>
        <w:rPr>
          <w:rFonts w:ascii="Tahoma" w:hAnsi="Tahoma" w:cs="Tahoma"/>
          <w:b/>
          <w:sz w:val="28"/>
          <w:szCs w:val="28"/>
          <w:lang w:val="en-US"/>
        </w:rPr>
      </w:pPr>
      <w:r w:rsidRPr="00A00E12">
        <w:rPr>
          <w:rFonts w:ascii="Tahoma" w:hAnsi="Tahoma" w:cs="Tahoma"/>
          <w:b/>
          <w:sz w:val="28"/>
          <w:szCs w:val="28"/>
          <w:lang w:val="en-US"/>
        </w:rPr>
        <w:t xml:space="preserve">RO-IR </w:t>
      </w:r>
      <w:r w:rsidR="007117CE" w:rsidRPr="00A00E12">
        <w:rPr>
          <w:rFonts w:ascii="Tahoma" w:hAnsi="Tahoma" w:cs="Tahoma"/>
          <w:b/>
          <w:sz w:val="28"/>
          <w:szCs w:val="28"/>
          <w:lang w:val="en-US"/>
        </w:rPr>
        <w:t>SRD-</w:t>
      </w:r>
      <w:r w:rsidRPr="00A00E12">
        <w:rPr>
          <w:rFonts w:ascii="Tahoma" w:hAnsi="Tahoma" w:cs="Tahoma"/>
          <w:b/>
          <w:sz w:val="28"/>
          <w:szCs w:val="28"/>
          <w:lang w:val="en-US"/>
        </w:rPr>
        <w:t>1</w:t>
      </w:r>
      <w:r w:rsidR="007117CE" w:rsidRPr="00A00E12">
        <w:rPr>
          <w:rFonts w:ascii="Tahoma" w:hAnsi="Tahoma" w:cs="Tahoma"/>
          <w:b/>
          <w:sz w:val="28"/>
          <w:szCs w:val="28"/>
          <w:lang w:val="en-US"/>
        </w:rPr>
        <w:t>1</w:t>
      </w:r>
    </w:p>
    <w:p w14:paraId="24590277" w14:textId="67973BFB" w:rsidR="00FE1241" w:rsidRPr="00A00E12" w:rsidRDefault="000B4E98" w:rsidP="00FE1241">
      <w:pPr>
        <w:jc w:val="center"/>
        <w:rPr>
          <w:rFonts w:ascii="Tahoma" w:hAnsi="Tahoma" w:cs="Tahoma"/>
          <w:b/>
          <w:sz w:val="28"/>
          <w:szCs w:val="28"/>
          <w:lang w:val="en-US"/>
        </w:rPr>
      </w:pPr>
      <w:r w:rsidRPr="00A00E12">
        <w:rPr>
          <w:rFonts w:ascii="Tahoma" w:hAnsi="Tahoma" w:cs="Tahoma"/>
          <w:b/>
          <w:sz w:val="28"/>
          <w:szCs w:val="28"/>
          <w:lang w:val="en-US"/>
        </w:rPr>
        <w:t>TECHNICAL REGULATION</w:t>
      </w:r>
      <w:r w:rsidR="00FE1241" w:rsidRPr="00A00E12">
        <w:rPr>
          <w:rFonts w:ascii="Tahoma" w:hAnsi="Tahoma" w:cs="Tahoma"/>
          <w:b/>
          <w:sz w:val="28"/>
          <w:szCs w:val="28"/>
          <w:lang w:val="en-US"/>
        </w:rPr>
        <w:t xml:space="preserve"> </w:t>
      </w:r>
    </w:p>
    <w:p w14:paraId="05C04987" w14:textId="77777777" w:rsidR="009019AA" w:rsidRPr="00A00E12" w:rsidRDefault="009019AA" w:rsidP="00FE1241">
      <w:pPr>
        <w:jc w:val="center"/>
        <w:rPr>
          <w:rFonts w:ascii="Tahoma" w:hAnsi="Tahoma" w:cs="Tahoma"/>
          <w:b/>
          <w:sz w:val="24"/>
          <w:szCs w:val="24"/>
          <w:lang w:val="en-US"/>
        </w:rPr>
      </w:pPr>
    </w:p>
    <w:p w14:paraId="3CD17FA8" w14:textId="6C878B59" w:rsidR="00661CB6" w:rsidRPr="00A00E12" w:rsidRDefault="000B4E98" w:rsidP="00FE1241">
      <w:pPr>
        <w:jc w:val="center"/>
        <w:rPr>
          <w:rFonts w:ascii="Tahoma" w:hAnsi="Tahoma" w:cs="Tahoma"/>
          <w:b/>
          <w:sz w:val="24"/>
          <w:szCs w:val="24"/>
          <w:lang w:val="en-US"/>
        </w:rPr>
      </w:pPr>
      <w:r w:rsidRPr="00A00E12">
        <w:rPr>
          <w:rFonts w:ascii="Tahoma" w:hAnsi="Tahoma" w:cs="Tahoma"/>
          <w:b/>
          <w:sz w:val="24"/>
          <w:szCs w:val="24"/>
          <w:lang w:val="en-US"/>
        </w:rPr>
        <w:t>for the radio interface</w:t>
      </w:r>
      <w:r w:rsidR="009543BB" w:rsidRPr="00A00E12">
        <w:rPr>
          <w:rFonts w:ascii="Tahoma" w:hAnsi="Tahoma" w:cs="Tahoma"/>
          <w:b/>
          <w:sz w:val="24"/>
          <w:szCs w:val="24"/>
          <w:lang w:val="en-US"/>
        </w:rPr>
        <w:t xml:space="preserve"> </w:t>
      </w:r>
    </w:p>
    <w:p w14:paraId="4C1B3209" w14:textId="77777777" w:rsidR="005961CB" w:rsidRPr="00A00E12" w:rsidRDefault="005961CB" w:rsidP="00FE1241">
      <w:pPr>
        <w:jc w:val="center"/>
        <w:rPr>
          <w:rFonts w:ascii="Tahoma" w:hAnsi="Tahoma" w:cs="Tahoma"/>
          <w:b/>
          <w:sz w:val="24"/>
          <w:szCs w:val="24"/>
          <w:lang w:val="en-US"/>
        </w:rPr>
      </w:pPr>
    </w:p>
    <w:p w14:paraId="4A5B7396" w14:textId="7B335129" w:rsidR="009F20E0" w:rsidRPr="00A00E12" w:rsidRDefault="000B4E98" w:rsidP="00661CB6">
      <w:pPr>
        <w:jc w:val="center"/>
        <w:rPr>
          <w:rFonts w:ascii="Tahoma" w:hAnsi="Tahoma" w:cs="Tahoma"/>
          <w:b/>
          <w:sz w:val="24"/>
          <w:szCs w:val="24"/>
          <w:lang w:val="en-US"/>
        </w:rPr>
      </w:pPr>
      <w:r w:rsidRPr="00A00E12">
        <w:rPr>
          <w:rFonts w:ascii="Tahoma" w:hAnsi="Tahoma" w:cs="Tahoma"/>
          <w:b/>
          <w:sz w:val="24"/>
          <w:szCs w:val="24"/>
          <w:lang w:val="en-US"/>
        </w:rPr>
        <w:t xml:space="preserve">concerning </w:t>
      </w:r>
      <w:bookmarkStart w:id="0" w:name="_Hlk115078611"/>
      <w:bookmarkStart w:id="1" w:name="_Hlk220053954"/>
      <w:r w:rsidR="009C7E3B">
        <w:rPr>
          <w:rFonts w:ascii="Tahoma" w:hAnsi="Tahoma" w:cs="Tahoma"/>
          <w:b/>
          <w:sz w:val="24"/>
          <w:szCs w:val="24"/>
          <w:lang w:val="en-US"/>
        </w:rPr>
        <w:t>devices</w:t>
      </w:r>
      <w:r w:rsidR="009C7E3B">
        <w:rPr>
          <w:rFonts w:ascii="Tahoma" w:hAnsi="Tahoma" w:cs="Tahoma"/>
          <w:b/>
          <w:sz w:val="24"/>
          <w:szCs w:val="24"/>
          <w:lang w:val="en-US"/>
        </w:rPr>
        <w:t xml:space="preserve"> for</w:t>
      </w:r>
      <w:r w:rsidR="006D1EEC">
        <w:rPr>
          <w:rFonts w:ascii="Tahoma" w:hAnsi="Tahoma" w:cs="Tahoma"/>
          <w:b/>
          <w:sz w:val="24"/>
          <w:szCs w:val="24"/>
          <w:lang w:val="en-US"/>
        </w:rPr>
        <w:t xml:space="preserve"> radio-based</w:t>
      </w:r>
      <w:r w:rsidR="009C7E3B">
        <w:rPr>
          <w:rFonts w:ascii="Tahoma" w:hAnsi="Tahoma" w:cs="Tahoma"/>
          <w:b/>
          <w:sz w:val="24"/>
          <w:szCs w:val="24"/>
          <w:lang w:val="en-US"/>
        </w:rPr>
        <w:t xml:space="preserve"> </w:t>
      </w:r>
      <w:r w:rsidRPr="00A00E12">
        <w:rPr>
          <w:rFonts w:ascii="Tahoma" w:hAnsi="Tahoma" w:cs="Tahoma"/>
          <w:b/>
          <w:sz w:val="24"/>
          <w:szCs w:val="24"/>
          <w:lang w:val="en-US"/>
        </w:rPr>
        <w:t>audio</w:t>
      </w:r>
      <w:r w:rsidR="009C7E3B">
        <w:rPr>
          <w:rFonts w:ascii="Tahoma" w:hAnsi="Tahoma" w:cs="Tahoma"/>
          <w:b/>
          <w:sz w:val="24"/>
          <w:szCs w:val="24"/>
          <w:lang w:val="en-US"/>
        </w:rPr>
        <w:t>/</w:t>
      </w:r>
      <w:r w:rsidRPr="00A00E12">
        <w:rPr>
          <w:rFonts w:ascii="Tahoma" w:hAnsi="Tahoma" w:cs="Tahoma"/>
          <w:b/>
          <w:sz w:val="24"/>
          <w:szCs w:val="24"/>
          <w:lang w:val="en-US"/>
        </w:rPr>
        <w:t xml:space="preserve">multimedia </w:t>
      </w:r>
      <w:bookmarkEnd w:id="0"/>
      <w:bookmarkEnd w:id="1"/>
      <w:r w:rsidR="009C7E3B">
        <w:rPr>
          <w:rFonts w:ascii="Tahoma" w:hAnsi="Tahoma" w:cs="Tahoma"/>
          <w:b/>
          <w:sz w:val="24"/>
          <w:szCs w:val="24"/>
          <w:lang w:val="en-US"/>
        </w:rPr>
        <w:t>applications</w:t>
      </w:r>
    </w:p>
    <w:p w14:paraId="316E260C" w14:textId="77777777" w:rsidR="00FE1241" w:rsidRPr="00A00E12" w:rsidRDefault="00FE1241" w:rsidP="00661CB6">
      <w:pPr>
        <w:jc w:val="center"/>
        <w:rPr>
          <w:rFonts w:ascii="Tahoma" w:hAnsi="Tahoma" w:cs="Tahoma"/>
          <w:b/>
          <w:sz w:val="24"/>
          <w:szCs w:val="24"/>
          <w:lang w:val="en-US"/>
        </w:rPr>
      </w:pPr>
    </w:p>
    <w:p w14:paraId="29ED41D9" w14:textId="35728533" w:rsidR="00F55745" w:rsidRPr="00A00E12" w:rsidRDefault="00F55745" w:rsidP="00F55745">
      <w:pPr>
        <w:jc w:val="center"/>
        <w:rPr>
          <w:rFonts w:ascii="Tahoma" w:hAnsi="Tahoma" w:cs="Tahoma"/>
          <w:b/>
          <w:sz w:val="24"/>
          <w:szCs w:val="24"/>
          <w:lang w:val="en-US"/>
        </w:rPr>
      </w:pPr>
      <w:r w:rsidRPr="00A00E12">
        <w:rPr>
          <w:rFonts w:ascii="Tahoma" w:hAnsi="Tahoma" w:cs="Tahoma"/>
          <w:b/>
          <w:sz w:val="24"/>
          <w:szCs w:val="24"/>
          <w:lang w:val="en-US"/>
        </w:rPr>
        <w:t>(</w:t>
      </w:r>
      <w:r w:rsidR="000B4E98" w:rsidRPr="00A00E12">
        <w:rPr>
          <w:rFonts w:ascii="Tahoma" w:hAnsi="Tahoma" w:cs="Tahoma"/>
          <w:b/>
          <w:sz w:val="24"/>
          <w:szCs w:val="24"/>
          <w:lang w:val="en-US"/>
        </w:rPr>
        <w:t>previous coding</w:t>
      </w:r>
      <w:r w:rsidRPr="00A00E12">
        <w:rPr>
          <w:rFonts w:ascii="Tahoma" w:hAnsi="Tahoma" w:cs="Tahoma"/>
          <w:b/>
          <w:sz w:val="24"/>
          <w:szCs w:val="24"/>
          <w:lang w:val="en-US"/>
        </w:rPr>
        <w:t xml:space="preserve"> RO-IR 13)</w:t>
      </w:r>
    </w:p>
    <w:p w14:paraId="69B66B0E" w14:textId="77777777" w:rsidR="00FE1241" w:rsidRPr="00A00E12" w:rsidRDefault="00FE1241" w:rsidP="00FE1241">
      <w:pPr>
        <w:jc w:val="center"/>
        <w:rPr>
          <w:rFonts w:ascii="Tahoma" w:hAnsi="Tahoma" w:cs="Tahoma"/>
          <w:b/>
          <w:sz w:val="24"/>
          <w:szCs w:val="24"/>
          <w:lang w:val="en-US"/>
        </w:rPr>
      </w:pPr>
    </w:p>
    <w:p w14:paraId="1635E9FB" w14:textId="77777777" w:rsidR="00FE1241" w:rsidRPr="00A00E12" w:rsidRDefault="00FE1241" w:rsidP="00FE1241">
      <w:pPr>
        <w:jc w:val="center"/>
        <w:rPr>
          <w:rFonts w:ascii="Tahoma" w:hAnsi="Tahoma" w:cs="Tahoma"/>
          <w:b/>
          <w:sz w:val="24"/>
          <w:szCs w:val="24"/>
          <w:lang w:val="en-US"/>
        </w:rPr>
      </w:pPr>
    </w:p>
    <w:p w14:paraId="2D5DF942" w14:textId="77777777" w:rsidR="00FE1241" w:rsidRPr="00A00E12" w:rsidRDefault="00FE1241" w:rsidP="00FE1241">
      <w:pPr>
        <w:jc w:val="center"/>
        <w:rPr>
          <w:rFonts w:ascii="Tahoma" w:hAnsi="Tahoma" w:cs="Tahoma"/>
          <w:b/>
          <w:sz w:val="24"/>
          <w:szCs w:val="24"/>
          <w:lang w:val="en-US"/>
        </w:rPr>
      </w:pPr>
    </w:p>
    <w:p w14:paraId="09301FDD" w14:textId="77777777" w:rsidR="00FE1241" w:rsidRPr="00A00E12" w:rsidRDefault="00FE1241" w:rsidP="00FE1241">
      <w:pPr>
        <w:jc w:val="center"/>
        <w:rPr>
          <w:rFonts w:ascii="Tahoma" w:hAnsi="Tahoma" w:cs="Tahoma"/>
          <w:b/>
          <w:sz w:val="24"/>
          <w:szCs w:val="24"/>
          <w:lang w:val="en-US"/>
        </w:rPr>
      </w:pPr>
    </w:p>
    <w:p w14:paraId="16430E52" w14:textId="77777777" w:rsidR="00FE1241" w:rsidRPr="00A00E12" w:rsidRDefault="00FE1241" w:rsidP="00FE1241">
      <w:pPr>
        <w:jc w:val="center"/>
        <w:rPr>
          <w:rFonts w:ascii="Tahoma" w:hAnsi="Tahoma" w:cs="Tahoma"/>
          <w:b/>
          <w:sz w:val="24"/>
          <w:szCs w:val="24"/>
          <w:lang w:val="en-US"/>
        </w:rPr>
      </w:pPr>
    </w:p>
    <w:p w14:paraId="258919A3" w14:textId="77777777" w:rsidR="00FE1241" w:rsidRPr="00A00E12" w:rsidRDefault="00FE1241" w:rsidP="00FE1241">
      <w:pPr>
        <w:jc w:val="center"/>
        <w:rPr>
          <w:rFonts w:ascii="Tahoma" w:hAnsi="Tahoma" w:cs="Tahoma"/>
          <w:b/>
          <w:sz w:val="24"/>
          <w:szCs w:val="24"/>
          <w:lang w:val="en-US"/>
        </w:rPr>
      </w:pPr>
    </w:p>
    <w:p w14:paraId="0BFCC67A" w14:textId="5C7856A6" w:rsidR="00FE1241" w:rsidRPr="00A00E12" w:rsidRDefault="00290C27" w:rsidP="00DA1238">
      <w:pPr>
        <w:autoSpaceDE/>
        <w:autoSpaceDN/>
        <w:rPr>
          <w:rFonts w:ascii="Tahoma" w:hAnsi="Tahoma" w:cs="Tahoma"/>
          <w:sz w:val="24"/>
          <w:szCs w:val="24"/>
          <w:lang w:val="en-US"/>
        </w:rPr>
      </w:pPr>
      <w:r w:rsidRPr="00A00E12">
        <w:rPr>
          <w:rFonts w:ascii="Tahoma" w:hAnsi="Tahoma" w:cs="Tahoma"/>
          <w:sz w:val="24"/>
          <w:szCs w:val="24"/>
          <w:lang w:val="en-US"/>
        </w:rPr>
        <w:br w:type="page"/>
      </w:r>
    </w:p>
    <w:p w14:paraId="1F68D165" w14:textId="3FDD983D" w:rsidR="00AF7342" w:rsidRPr="00A00E12" w:rsidRDefault="00AF7342" w:rsidP="00964512">
      <w:pPr>
        <w:rPr>
          <w:rFonts w:ascii="Tahoma" w:hAnsi="Tahoma" w:cs="Tahoma"/>
          <w:bCs/>
          <w:sz w:val="22"/>
          <w:szCs w:val="22"/>
          <w:lang w:val="en-US"/>
        </w:rPr>
      </w:pPr>
      <w:r w:rsidRPr="00A00E12">
        <w:rPr>
          <w:rFonts w:ascii="Tahoma" w:hAnsi="Tahoma" w:cs="Tahoma"/>
          <w:b/>
          <w:bCs/>
          <w:sz w:val="22"/>
          <w:szCs w:val="22"/>
          <w:lang w:val="en-US"/>
        </w:rPr>
        <w:lastRenderedPageBreak/>
        <w:t>1</w:t>
      </w:r>
      <w:r w:rsidR="006900DD" w:rsidRPr="00A00E12">
        <w:rPr>
          <w:rFonts w:ascii="Tahoma" w:hAnsi="Tahoma" w:cs="Tahoma"/>
          <w:b/>
          <w:bCs/>
          <w:sz w:val="22"/>
          <w:szCs w:val="22"/>
          <w:lang w:val="en-US"/>
        </w:rPr>
        <w:t>.</w:t>
      </w:r>
      <w:r w:rsidR="00347242" w:rsidRPr="00A00E12">
        <w:rPr>
          <w:rFonts w:ascii="Tahoma" w:hAnsi="Tahoma" w:cs="Tahoma"/>
          <w:b/>
          <w:bCs/>
          <w:sz w:val="22"/>
          <w:szCs w:val="22"/>
          <w:lang w:val="en-US"/>
        </w:rPr>
        <w:t xml:space="preserve"> </w:t>
      </w:r>
      <w:r w:rsidR="00A00E12" w:rsidRPr="00845BBF">
        <w:rPr>
          <w:rFonts w:ascii="Tahoma" w:hAnsi="Tahoma" w:cs="Tahoma"/>
          <w:b/>
          <w:sz w:val="22"/>
          <w:szCs w:val="22"/>
          <w:lang w:val="en-US"/>
        </w:rPr>
        <w:t>Basic Considerations</w:t>
      </w:r>
    </w:p>
    <w:p w14:paraId="1335D873" w14:textId="77777777" w:rsidR="00AF7342" w:rsidRPr="00A00E12" w:rsidRDefault="00AF7342" w:rsidP="00964512">
      <w:pPr>
        <w:rPr>
          <w:lang w:val="en-US"/>
        </w:rPr>
      </w:pPr>
    </w:p>
    <w:p w14:paraId="13BD7591" w14:textId="7141F829" w:rsidR="00683A78" w:rsidRPr="00A00E12" w:rsidRDefault="00F07C8D" w:rsidP="00683A78">
      <w:pPr>
        <w:pStyle w:val="BodyText2"/>
        <w:spacing w:line="240" w:lineRule="auto"/>
        <w:jc w:val="both"/>
        <w:rPr>
          <w:rFonts w:ascii="Tahoma" w:hAnsi="Tahoma" w:cs="Tahoma"/>
          <w:sz w:val="22"/>
          <w:szCs w:val="22"/>
          <w:lang w:val="en-US"/>
        </w:rPr>
      </w:pPr>
      <w:r w:rsidRPr="00845BBF">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683A78" w:rsidRPr="00A00E12">
        <w:rPr>
          <w:rFonts w:ascii="Tahoma" w:hAnsi="Tahoma" w:cs="Tahoma"/>
          <w:sz w:val="22"/>
          <w:szCs w:val="22"/>
          <w:lang w:val="en-US"/>
        </w:rPr>
        <w:t xml:space="preserve">. </w:t>
      </w:r>
    </w:p>
    <w:p w14:paraId="66540195" w14:textId="40B649FE" w:rsidR="00683A78" w:rsidRPr="00A00E12" w:rsidRDefault="0016017A" w:rsidP="00683A78">
      <w:pPr>
        <w:pStyle w:val="BodyText2"/>
        <w:spacing w:line="240" w:lineRule="auto"/>
        <w:jc w:val="both"/>
        <w:rPr>
          <w:rFonts w:ascii="Tahoma" w:hAnsi="Tahoma" w:cs="Tahoma"/>
          <w:sz w:val="22"/>
          <w:szCs w:val="22"/>
          <w:lang w:val="en-US"/>
        </w:rPr>
      </w:pPr>
      <w:r w:rsidRPr="003523F0">
        <w:rPr>
          <w:rFonts w:ascii="Tahoma" w:hAnsi="Tahoma" w:cs="Tahoma"/>
          <w:sz w:val="22"/>
          <w:szCs w:val="22"/>
          <w:lang w:val="en-GB"/>
        </w:rPr>
        <w:t>This technical regulation contains the requirements for license-exempt use of radio spectrum by</w:t>
      </w:r>
      <w:r w:rsidRPr="00295344" w:rsidDel="00F32E32">
        <w:rPr>
          <w:rFonts w:ascii="Tahoma" w:hAnsi="Tahoma" w:cs="Tahoma"/>
          <w:sz w:val="22"/>
          <w:szCs w:val="22"/>
          <w:lang w:val="en-GB"/>
        </w:rPr>
        <w:t xml:space="preserve"> </w:t>
      </w:r>
      <w:r w:rsidR="00673E33" w:rsidRPr="00673E33">
        <w:rPr>
          <w:rFonts w:ascii="Tahoma" w:hAnsi="Tahoma" w:cs="Tahoma"/>
          <w:sz w:val="22"/>
          <w:szCs w:val="22"/>
          <w:lang w:val="en-GB"/>
        </w:rPr>
        <w:t xml:space="preserve">audio and multimedia streaming systems </w:t>
      </w:r>
      <w:r w:rsidRPr="003523F0">
        <w:rPr>
          <w:rFonts w:ascii="Tahoma" w:hAnsi="Tahoma" w:cs="Tahoma"/>
          <w:sz w:val="22"/>
          <w:szCs w:val="22"/>
          <w:lang w:val="en-GB"/>
        </w:rPr>
        <w:t>in the specified frequency bands</w:t>
      </w:r>
      <w:r w:rsidRPr="003523F0" w:rsidDel="00D353FE">
        <w:rPr>
          <w:rFonts w:ascii="Tahoma" w:hAnsi="Tahoma" w:cs="Tahoma"/>
          <w:sz w:val="22"/>
          <w:szCs w:val="22"/>
          <w:lang w:val="en-GB"/>
        </w:rPr>
        <w:t xml:space="preserve"> </w:t>
      </w:r>
      <w:r w:rsidRPr="003523F0">
        <w:rPr>
          <w:rFonts w:ascii="Tahoma" w:hAnsi="Tahoma" w:cs="Tahoma"/>
          <w:sz w:val="22"/>
          <w:szCs w:val="22"/>
          <w:lang w:val="en-GB"/>
        </w:rPr>
        <w:t>and considers compliance, especially, with the provisions of Article 3 Paragraph 2 and Articles 6-8 of Directive 2014/53/EU</w:t>
      </w:r>
      <w:r w:rsidR="00683A78" w:rsidRPr="00A00E12">
        <w:rPr>
          <w:rFonts w:ascii="Tahoma" w:hAnsi="Tahoma" w:cs="Tahoma"/>
          <w:sz w:val="22"/>
          <w:szCs w:val="22"/>
          <w:lang w:val="en-US"/>
        </w:rPr>
        <w:t>.</w:t>
      </w:r>
    </w:p>
    <w:p w14:paraId="3FCD9D07" w14:textId="21E4AD6B" w:rsidR="00EC39B5" w:rsidRPr="00A00E12" w:rsidRDefault="00A5714C" w:rsidP="00EC39B5">
      <w:pPr>
        <w:spacing w:after="120"/>
        <w:jc w:val="both"/>
        <w:rPr>
          <w:rFonts w:ascii="Tahoma" w:hAnsi="Tahoma" w:cs="Tahoma"/>
          <w:sz w:val="22"/>
          <w:szCs w:val="22"/>
          <w:lang w:val="en-US"/>
        </w:rPr>
      </w:pPr>
      <w:r w:rsidRPr="00845BBF">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EC39B5" w:rsidRPr="00A00E12">
        <w:rPr>
          <w:rFonts w:ascii="Tahoma" w:hAnsi="Tahoma" w:cs="Tahoma"/>
          <w:sz w:val="22"/>
          <w:szCs w:val="22"/>
          <w:lang w:val="en-US"/>
        </w:rPr>
        <w:t>.</w:t>
      </w:r>
    </w:p>
    <w:p w14:paraId="0521713F" w14:textId="15375FF6" w:rsidR="00683A78" w:rsidRPr="00A00E12" w:rsidRDefault="008A1409" w:rsidP="00683A78">
      <w:pPr>
        <w:pStyle w:val="Header"/>
        <w:tabs>
          <w:tab w:val="left" w:pos="720"/>
        </w:tabs>
        <w:spacing w:after="120"/>
        <w:jc w:val="both"/>
        <w:rPr>
          <w:rFonts w:ascii="Tahoma" w:hAnsi="Tahoma" w:cs="Tahoma"/>
          <w:sz w:val="22"/>
          <w:szCs w:val="22"/>
          <w:lang w:val="en-US"/>
        </w:rPr>
      </w:pPr>
      <w:bookmarkStart w:id="2" w:name="_Hlk114652878"/>
      <w:r w:rsidRPr="00845BBF">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2"/>
      <w:r w:rsidRPr="00845BBF">
        <w:rPr>
          <w:rFonts w:ascii="Tahoma" w:hAnsi="Tahoma" w:cs="Tahoma"/>
          <w:sz w:val="22"/>
          <w:szCs w:val="22"/>
          <w:lang w:val="en-US"/>
        </w:rPr>
        <w:t>L 241, 17.9.2015, p. 1–15)</w:t>
      </w:r>
      <w:r w:rsidR="00683A78" w:rsidRPr="00A00E12">
        <w:rPr>
          <w:rFonts w:ascii="Tahoma" w:hAnsi="Tahoma" w:cs="Tahoma"/>
          <w:sz w:val="22"/>
          <w:szCs w:val="22"/>
          <w:lang w:val="en-US"/>
        </w:rPr>
        <w:t>.</w:t>
      </w:r>
    </w:p>
    <w:p w14:paraId="6F02334F" w14:textId="4015BD8A" w:rsidR="00683A78" w:rsidRPr="00A00E12" w:rsidRDefault="00D75E94" w:rsidP="00683A78">
      <w:pPr>
        <w:pStyle w:val="BodyText2"/>
        <w:spacing w:line="240" w:lineRule="auto"/>
        <w:jc w:val="both"/>
        <w:rPr>
          <w:rFonts w:ascii="Tahoma" w:hAnsi="Tahoma" w:cs="Tahoma"/>
          <w:sz w:val="22"/>
          <w:szCs w:val="22"/>
          <w:lang w:val="en-US"/>
        </w:rPr>
      </w:pPr>
      <w:bookmarkStart w:id="3" w:name="_Hlk114652921"/>
      <w:r w:rsidRPr="00845BBF">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3"/>
      <w:r w:rsidR="00683A78" w:rsidRPr="00A00E12">
        <w:rPr>
          <w:rFonts w:ascii="Tahoma" w:hAnsi="Tahoma" w:cs="Tahoma"/>
          <w:sz w:val="22"/>
          <w:szCs w:val="22"/>
          <w:lang w:val="en-US"/>
        </w:rPr>
        <w:t xml:space="preserve">: </w:t>
      </w:r>
      <w:hyperlink r:id="rId9" w:history="1">
        <w:r w:rsidR="00EC39B5" w:rsidRPr="00A00E12">
          <w:rPr>
            <w:rStyle w:val="Hyperlink"/>
            <w:rFonts w:ascii="Tahoma" w:hAnsi="Tahoma" w:cs="Tahoma"/>
            <w:color w:val="0070C0"/>
            <w:sz w:val="22"/>
            <w:szCs w:val="22"/>
            <w:lang w:val="en-US"/>
          </w:rPr>
          <w:t>http://www.ancom.ro/reglementari-interfete_2723</w:t>
        </w:r>
      </w:hyperlink>
      <w:r w:rsidR="00683A78" w:rsidRPr="00A00E12">
        <w:rPr>
          <w:rFonts w:ascii="Tahoma" w:hAnsi="Tahoma" w:cs="Tahoma"/>
          <w:sz w:val="22"/>
          <w:szCs w:val="22"/>
          <w:lang w:val="en-US"/>
        </w:rPr>
        <w:t>.</w:t>
      </w:r>
    </w:p>
    <w:p w14:paraId="42774B18" w14:textId="77777777" w:rsidR="00BE7EA7" w:rsidRPr="00A00E12" w:rsidRDefault="00BE7EA7" w:rsidP="00E65DC1">
      <w:pPr>
        <w:pStyle w:val="BodyText2"/>
        <w:spacing w:line="240" w:lineRule="auto"/>
        <w:jc w:val="both"/>
        <w:rPr>
          <w:rFonts w:ascii="Tahoma" w:hAnsi="Tahoma" w:cs="Tahoma"/>
          <w:b/>
          <w:sz w:val="22"/>
          <w:szCs w:val="22"/>
          <w:lang w:val="en-US"/>
        </w:rPr>
      </w:pPr>
    </w:p>
    <w:p w14:paraId="7588B90C" w14:textId="0AE06E10" w:rsidR="00AF7342" w:rsidRPr="00A00E12" w:rsidRDefault="00E65DC1" w:rsidP="00E65DC1">
      <w:pPr>
        <w:pStyle w:val="BodyText2"/>
        <w:spacing w:line="240" w:lineRule="auto"/>
        <w:jc w:val="both"/>
        <w:rPr>
          <w:rFonts w:ascii="Tahoma" w:hAnsi="Tahoma" w:cs="Tahoma"/>
          <w:sz w:val="22"/>
          <w:szCs w:val="22"/>
          <w:lang w:val="en-US"/>
        </w:rPr>
      </w:pPr>
      <w:r w:rsidRPr="00A00E12">
        <w:rPr>
          <w:rFonts w:ascii="Tahoma" w:hAnsi="Tahoma" w:cs="Tahoma"/>
          <w:b/>
          <w:sz w:val="22"/>
          <w:szCs w:val="22"/>
          <w:lang w:val="en-US"/>
        </w:rPr>
        <w:t>2</w:t>
      </w:r>
      <w:r w:rsidR="006900DD" w:rsidRPr="00A00E12">
        <w:rPr>
          <w:rFonts w:ascii="Tahoma" w:hAnsi="Tahoma" w:cs="Tahoma"/>
          <w:b/>
          <w:sz w:val="22"/>
          <w:szCs w:val="22"/>
          <w:lang w:val="en-US"/>
        </w:rPr>
        <w:t>.</w:t>
      </w:r>
      <w:r w:rsidRPr="00A00E12">
        <w:rPr>
          <w:rFonts w:ascii="Tahoma" w:hAnsi="Tahoma" w:cs="Tahoma"/>
          <w:sz w:val="22"/>
          <w:szCs w:val="22"/>
          <w:lang w:val="en-US"/>
        </w:rPr>
        <w:t xml:space="preserve"> </w:t>
      </w:r>
      <w:bookmarkStart w:id="4" w:name="_Hlk114476580"/>
      <w:r w:rsidR="00406052" w:rsidRPr="003523F0">
        <w:rPr>
          <w:rFonts w:ascii="Tahoma" w:hAnsi="Tahoma" w:cs="Tahoma"/>
          <w:b/>
          <w:bCs/>
          <w:sz w:val="22"/>
          <w:szCs w:val="22"/>
          <w:lang w:val="en-GB"/>
        </w:rPr>
        <w:t>Radio Interface Specifications</w:t>
      </w:r>
      <w:bookmarkEnd w:id="4"/>
      <w:r w:rsidR="009230B0" w:rsidRPr="00A00E12">
        <w:rPr>
          <w:rFonts w:ascii="Tahoma" w:hAnsi="Tahoma" w:cs="Tahoma"/>
          <w:b/>
          <w:bCs/>
          <w:sz w:val="22"/>
          <w:szCs w:val="22"/>
          <w:lang w:val="en-US"/>
        </w:rPr>
        <w:t xml:space="preserve"> </w:t>
      </w:r>
    </w:p>
    <w:p w14:paraId="192FFFB1" w14:textId="597AB93A" w:rsidR="00E65DC1" w:rsidRPr="00683E5D" w:rsidRDefault="00673E33" w:rsidP="006756BC">
      <w:pPr>
        <w:pStyle w:val="BodyText2"/>
        <w:spacing w:line="240" w:lineRule="auto"/>
        <w:jc w:val="both"/>
        <w:rPr>
          <w:rFonts w:ascii="Tahoma" w:hAnsi="Tahoma" w:cs="Tahoma"/>
          <w:b/>
          <w:bCs/>
          <w:sz w:val="22"/>
          <w:szCs w:val="22"/>
          <w:lang w:val="en-GB"/>
        </w:rPr>
      </w:pPr>
      <w:r>
        <w:rPr>
          <w:rFonts w:ascii="Tahoma" w:hAnsi="Tahoma" w:cs="Tahoma"/>
          <w:b/>
          <w:sz w:val="22"/>
          <w:szCs w:val="22"/>
          <w:lang w:val="en-GB"/>
        </w:rPr>
        <w:t>A</w:t>
      </w:r>
      <w:r w:rsidRPr="00673E33">
        <w:rPr>
          <w:rFonts w:ascii="Tahoma" w:hAnsi="Tahoma" w:cs="Tahoma"/>
          <w:b/>
          <w:sz w:val="22"/>
          <w:szCs w:val="22"/>
          <w:lang w:val="en-GB"/>
        </w:rPr>
        <w:t xml:space="preserve">udio and </w:t>
      </w:r>
      <w:r>
        <w:rPr>
          <w:rFonts w:ascii="Tahoma" w:hAnsi="Tahoma" w:cs="Tahoma"/>
          <w:b/>
          <w:sz w:val="22"/>
          <w:szCs w:val="22"/>
          <w:lang w:val="en-GB"/>
        </w:rPr>
        <w:t>M</w:t>
      </w:r>
      <w:r w:rsidRPr="00673E33">
        <w:rPr>
          <w:rFonts w:ascii="Tahoma" w:hAnsi="Tahoma" w:cs="Tahoma"/>
          <w:b/>
          <w:sz w:val="22"/>
          <w:szCs w:val="22"/>
          <w:lang w:val="en-GB"/>
        </w:rPr>
        <w:t xml:space="preserve">ultimedia </w:t>
      </w:r>
      <w:r>
        <w:rPr>
          <w:rFonts w:ascii="Tahoma" w:hAnsi="Tahoma" w:cs="Tahoma"/>
          <w:b/>
          <w:sz w:val="22"/>
          <w:szCs w:val="22"/>
          <w:lang w:val="en-GB"/>
        </w:rPr>
        <w:t>S</w:t>
      </w:r>
      <w:r w:rsidRPr="00673E33">
        <w:rPr>
          <w:rFonts w:ascii="Tahoma" w:hAnsi="Tahoma" w:cs="Tahoma"/>
          <w:b/>
          <w:sz w:val="22"/>
          <w:szCs w:val="22"/>
          <w:lang w:val="en-GB"/>
        </w:rPr>
        <w:t xml:space="preserve">treaming </w:t>
      </w:r>
      <w:r w:rsidR="00100221">
        <w:rPr>
          <w:rFonts w:ascii="Tahoma" w:hAnsi="Tahoma" w:cs="Tahoma"/>
          <w:b/>
          <w:sz w:val="22"/>
          <w:szCs w:val="22"/>
          <w:lang w:val="en-GB"/>
        </w:rPr>
        <w:t>S</w:t>
      </w:r>
      <w:r w:rsidRPr="00673E33">
        <w:rPr>
          <w:rFonts w:ascii="Tahoma" w:hAnsi="Tahoma" w:cs="Tahoma"/>
          <w:b/>
          <w:sz w:val="22"/>
          <w:szCs w:val="22"/>
          <w:lang w:val="en-GB"/>
        </w:rPr>
        <w:t>ystems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2520"/>
      </w:tblGrid>
      <w:tr w:rsidR="001129D2" w:rsidRPr="00A00E12" w14:paraId="691EC21F" w14:textId="77777777" w:rsidTr="00CF0EB1">
        <w:tc>
          <w:tcPr>
            <w:tcW w:w="3780" w:type="dxa"/>
          </w:tcPr>
          <w:p w14:paraId="6170E65E" w14:textId="1C5C1A8E" w:rsidR="001129D2" w:rsidRPr="00A00E12" w:rsidRDefault="001129D2" w:rsidP="001129D2">
            <w:pPr>
              <w:pStyle w:val="BodyText2"/>
              <w:spacing w:line="240" w:lineRule="auto"/>
              <w:rPr>
                <w:rFonts w:ascii="Tahoma" w:hAnsi="Tahoma" w:cs="Tahoma"/>
                <w:b/>
                <w:sz w:val="22"/>
                <w:szCs w:val="22"/>
                <w:lang w:val="en-US"/>
              </w:rPr>
            </w:pPr>
            <w:r w:rsidRPr="003523F0">
              <w:rPr>
                <w:rFonts w:ascii="Tahoma" w:hAnsi="Tahoma" w:cs="Tahoma"/>
                <w:b/>
                <w:sz w:val="22"/>
                <w:szCs w:val="22"/>
                <w:lang w:val="en-GB"/>
              </w:rPr>
              <w:t xml:space="preserve">Frequency band </w:t>
            </w:r>
          </w:p>
        </w:tc>
        <w:tc>
          <w:tcPr>
            <w:tcW w:w="2520" w:type="dxa"/>
          </w:tcPr>
          <w:p w14:paraId="43427F69" w14:textId="2E33ED91" w:rsidR="001129D2" w:rsidRPr="00A00E12" w:rsidRDefault="001129D2" w:rsidP="001129D2">
            <w:pPr>
              <w:pStyle w:val="BodyText2"/>
              <w:spacing w:line="240" w:lineRule="auto"/>
              <w:rPr>
                <w:rFonts w:ascii="Tahoma" w:hAnsi="Tahoma" w:cs="Tahoma"/>
                <w:b/>
                <w:sz w:val="22"/>
                <w:szCs w:val="22"/>
                <w:lang w:val="en-US"/>
              </w:rPr>
            </w:pPr>
            <w:r w:rsidRPr="003523F0">
              <w:rPr>
                <w:rFonts w:ascii="Tahoma" w:hAnsi="Tahoma" w:cs="Tahoma"/>
                <w:b/>
                <w:sz w:val="22"/>
                <w:szCs w:val="22"/>
                <w:lang w:val="en-GB"/>
              </w:rPr>
              <w:t>Annex</w:t>
            </w:r>
          </w:p>
        </w:tc>
      </w:tr>
      <w:tr w:rsidR="00ED31AE" w:rsidRPr="00A00E12" w14:paraId="3E5DF143" w14:textId="77777777" w:rsidTr="00CF0EB1">
        <w:tc>
          <w:tcPr>
            <w:tcW w:w="3780" w:type="dxa"/>
          </w:tcPr>
          <w:p w14:paraId="5C0A1D71" w14:textId="77777777" w:rsidR="00ED31AE" w:rsidRPr="00A00E12" w:rsidRDefault="00ED31AE" w:rsidP="00ED31AE">
            <w:pPr>
              <w:pStyle w:val="BodyText2"/>
              <w:spacing w:line="240" w:lineRule="auto"/>
              <w:rPr>
                <w:rFonts w:ascii="Tahoma" w:hAnsi="Tahoma" w:cs="Tahoma"/>
                <w:strike/>
                <w:sz w:val="22"/>
                <w:szCs w:val="22"/>
                <w:lang w:val="en-US"/>
              </w:rPr>
            </w:pPr>
            <w:r w:rsidRPr="00A00E12">
              <w:rPr>
                <w:rFonts w:ascii="Tahoma" w:hAnsi="Tahoma" w:cs="Tahoma"/>
                <w:strike/>
                <w:sz w:val="22"/>
                <w:szCs w:val="22"/>
                <w:lang w:val="en-US"/>
              </w:rPr>
              <w:t xml:space="preserve">87,5 </w:t>
            </w:r>
            <w:r w:rsidR="004C5807" w:rsidRPr="00A00E12">
              <w:rPr>
                <w:rFonts w:ascii="Tahoma" w:hAnsi="Tahoma" w:cs="Tahoma"/>
                <w:strike/>
                <w:sz w:val="22"/>
                <w:szCs w:val="22"/>
                <w:lang w:val="en-US"/>
              </w:rPr>
              <w:t>–</w:t>
            </w:r>
            <w:r w:rsidRPr="00A00E12">
              <w:rPr>
                <w:rFonts w:ascii="Tahoma" w:hAnsi="Tahoma" w:cs="Tahoma"/>
                <w:strike/>
                <w:sz w:val="22"/>
                <w:szCs w:val="22"/>
                <w:lang w:val="en-US"/>
              </w:rPr>
              <w:t xml:space="preserve"> 108 MHz</w:t>
            </w:r>
          </w:p>
        </w:tc>
        <w:tc>
          <w:tcPr>
            <w:tcW w:w="2520" w:type="dxa"/>
          </w:tcPr>
          <w:p w14:paraId="0B184D66" w14:textId="16A43120" w:rsidR="00ED31AE" w:rsidRPr="00A00E12" w:rsidRDefault="00ED31AE" w:rsidP="00ED31AE">
            <w:pPr>
              <w:pStyle w:val="BodyText2"/>
              <w:spacing w:line="240" w:lineRule="auto"/>
              <w:rPr>
                <w:rFonts w:ascii="Tahoma" w:hAnsi="Tahoma" w:cs="Tahoma"/>
                <w:strike/>
                <w:sz w:val="22"/>
                <w:szCs w:val="22"/>
                <w:lang w:val="en-US"/>
              </w:rPr>
            </w:pPr>
            <w:r w:rsidRPr="00A00E12">
              <w:rPr>
                <w:rFonts w:ascii="Tahoma" w:hAnsi="Tahoma" w:cs="Tahoma"/>
                <w:strike/>
                <w:sz w:val="22"/>
                <w:szCs w:val="22"/>
                <w:lang w:val="en-US"/>
              </w:rPr>
              <w:t xml:space="preserve">RO-IR </w:t>
            </w:r>
            <w:r w:rsidR="00872530" w:rsidRPr="00A00E12">
              <w:rPr>
                <w:rFonts w:ascii="Tahoma" w:hAnsi="Tahoma" w:cs="Tahoma"/>
                <w:strike/>
                <w:sz w:val="22"/>
                <w:szCs w:val="22"/>
                <w:lang w:val="en-US"/>
              </w:rPr>
              <w:t>SRD–</w:t>
            </w:r>
            <w:r w:rsidRPr="00A00E12">
              <w:rPr>
                <w:rFonts w:ascii="Tahoma" w:hAnsi="Tahoma" w:cs="Tahoma"/>
                <w:strike/>
                <w:sz w:val="22"/>
                <w:szCs w:val="22"/>
                <w:lang w:val="en-US"/>
              </w:rPr>
              <w:t>1</w:t>
            </w:r>
            <w:r w:rsidR="00872530" w:rsidRPr="00A00E12">
              <w:rPr>
                <w:rFonts w:ascii="Tahoma" w:hAnsi="Tahoma" w:cs="Tahoma"/>
                <w:strike/>
                <w:sz w:val="22"/>
                <w:szCs w:val="22"/>
                <w:lang w:val="en-US"/>
              </w:rPr>
              <w:t>1</w:t>
            </w:r>
            <w:r w:rsidRPr="00A00E12">
              <w:rPr>
                <w:rFonts w:ascii="Tahoma" w:hAnsi="Tahoma" w:cs="Tahoma"/>
                <w:strike/>
                <w:sz w:val="22"/>
                <w:szCs w:val="22"/>
                <w:lang w:val="en-US"/>
              </w:rPr>
              <w:t>–01</w:t>
            </w:r>
          </w:p>
        </w:tc>
      </w:tr>
      <w:tr w:rsidR="00ED31AE" w:rsidRPr="00A00E12" w14:paraId="78EF6BB2" w14:textId="77777777" w:rsidTr="00CF0EB1">
        <w:tc>
          <w:tcPr>
            <w:tcW w:w="3780" w:type="dxa"/>
          </w:tcPr>
          <w:p w14:paraId="34FD5B73" w14:textId="77777777" w:rsidR="00ED31AE" w:rsidRPr="00A00E12" w:rsidRDefault="00ED31AE" w:rsidP="00ED31AE">
            <w:pPr>
              <w:pStyle w:val="BodyText2"/>
              <w:spacing w:line="240" w:lineRule="auto"/>
              <w:rPr>
                <w:rFonts w:ascii="Tahoma" w:hAnsi="Tahoma" w:cs="Tahoma"/>
                <w:strike/>
                <w:sz w:val="22"/>
                <w:szCs w:val="22"/>
                <w:lang w:val="en-US"/>
              </w:rPr>
            </w:pPr>
            <w:r w:rsidRPr="00A00E12">
              <w:rPr>
                <w:rFonts w:ascii="Tahoma" w:hAnsi="Tahoma" w:cs="Tahoma"/>
                <w:strike/>
                <w:sz w:val="22"/>
                <w:szCs w:val="22"/>
                <w:lang w:val="en-US"/>
              </w:rPr>
              <w:t xml:space="preserve">863 </w:t>
            </w:r>
            <w:r w:rsidR="004C5807" w:rsidRPr="00A00E12">
              <w:rPr>
                <w:rFonts w:ascii="Tahoma" w:hAnsi="Tahoma" w:cs="Tahoma"/>
                <w:strike/>
                <w:sz w:val="22"/>
                <w:szCs w:val="22"/>
                <w:lang w:val="en-US"/>
              </w:rPr>
              <w:t>–</w:t>
            </w:r>
            <w:r w:rsidRPr="00A00E12">
              <w:rPr>
                <w:rFonts w:ascii="Tahoma" w:hAnsi="Tahoma" w:cs="Tahoma"/>
                <w:strike/>
                <w:sz w:val="22"/>
                <w:szCs w:val="22"/>
                <w:lang w:val="en-US"/>
              </w:rPr>
              <w:t xml:space="preserve"> 865 MHz</w:t>
            </w:r>
          </w:p>
        </w:tc>
        <w:tc>
          <w:tcPr>
            <w:tcW w:w="2520" w:type="dxa"/>
          </w:tcPr>
          <w:p w14:paraId="76AA28E2" w14:textId="513D99F3" w:rsidR="00ED31AE" w:rsidRPr="00A00E12" w:rsidRDefault="00ED31AE" w:rsidP="00ED31AE">
            <w:pPr>
              <w:pStyle w:val="BodyText2"/>
              <w:spacing w:line="240" w:lineRule="auto"/>
              <w:rPr>
                <w:rFonts w:ascii="Tahoma" w:hAnsi="Tahoma" w:cs="Tahoma"/>
                <w:bCs/>
                <w:strike/>
                <w:sz w:val="22"/>
                <w:szCs w:val="22"/>
                <w:lang w:val="en-US"/>
              </w:rPr>
            </w:pPr>
            <w:r w:rsidRPr="00A00E12">
              <w:rPr>
                <w:rFonts w:ascii="Tahoma" w:hAnsi="Tahoma" w:cs="Tahoma"/>
                <w:bCs/>
                <w:strike/>
                <w:sz w:val="22"/>
                <w:szCs w:val="22"/>
                <w:lang w:val="en-US"/>
              </w:rPr>
              <w:t xml:space="preserve">RO-IR </w:t>
            </w:r>
            <w:r w:rsidR="00872530" w:rsidRPr="00A00E12">
              <w:rPr>
                <w:rFonts w:ascii="Tahoma" w:hAnsi="Tahoma" w:cs="Tahoma"/>
                <w:strike/>
                <w:sz w:val="22"/>
                <w:szCs w:val="22"/>
                <w:lang w:val="en-US"/>
              </w:rPr>
              <w:t>SRD–11–0</w:t>
            </w:r>
            <w:r w:rsidR="00872530" w:rsidRPr="00A00E12">
              <w:rPr>
                <w:rFonts w:ascii="Tahoma" w:hAnsi="Tahoma" w:cs="Tahoma"/>
                <w:bCs/>
                <w:strike/>
                <w:sz w:val="22"/>
                <w:szCs w:val="22"/>
                <w:lang w:val="en-US"/>
              </w:rPr>
              <w:t>2</w:t>
            </w:r>
          </w:p>
        </w:tc>
      </w:tr>
      <w:tr w:rsidR="00ED31AE" w:rsidRPr="00A00E12" w14:paraId="10D1037D" w14:textId="77777777" w:rsidTr="00CF0EB1">
        <w:tc>
          <w:tcPr>
            <w:tcW w:w="3780" w:type="dxa"/>
          </w:tcPr>
          <w:p w14:paraId="140386C6" w14:textId="77777777" w:rsidR="00ED31AE" w:rsidRPr="00A00E12" w:rsidRDefault="00ED31AE" w:rsidP="00ED31AE">
            <w:pPr>
              <w:pStyle w:val="BodyText2"/>
              <w:spacing w:line="240" w:lineRule="auto"/>
              <w:rPr>
                <w:rFonts w:ascii="Tahoma" w:hAnsi="Tahoma" w:cs="Tahoma"/>
                <w:strike/>
                <w:sz w:val="22"/>
                <w:szCs w:val="22"/>
                <w:lang w:val="en-US"/>
              </w:rPr>
            </w:pPr>
            <w:r w:rsidRPr="00A00E12">
              <w:rPr>
                <w:rFonts w:ascii="Tahoma" w:hAnsi="Tahoma" w:cs="Tahoma"/>
                <w:strike/>
                <w:sz w:val="22"/>
                <w:szCs w:val="22"/>
                <w:lang w:val="en-US"/>
              </w:rPr>
              <w:t>1</w:t>
            </w:r>
            <w:r w:rsidR="00773214" w:rsidRPr="00A00E12">
              <w:rPr>
                <w:rFonts w:ascii="Tahoma" w:hAnsi="Tahoma" w:cs="Tahoma"/>
                <w:strike/>
                <w:sz w:val="22"/>
                <w:szCs w:val="22"/>
                <w:lang w:val="en-US"/>
              </w:rPr>
              <w:t xml:space="preserve"> </w:t>
            </w:r>
            <w:r w:rsidRPr="00A00E12">
              <w:rPr>
                <w:rFonts w:ascii="Tahoma" w:hAnsi="Tahoma" w:cs="Tahoma"/>
                <w:strike/>
                <w:sz w:val="22"/>
                <w:szCs w:val="22"/>
                <w:lang w:val="en-US"/>
              </w:rPr>
              <w:t xml:space="preserve">795 </w:t>
            </w:r>
            <w:r w:rsidR="004C5807" w:rsidRPr="00A00E12">
              <w:rPr>
                <w:rFonts w:ascii="Tahoma" w:hAnsi="Tahoma" w:cs="Tahoma"/>
                <w:strike/>
                <w:sz w:val="22"/>
                <w:szCs w:val="22"/>
                <w:lang w:val="en-US"/>
              </w:rPr>
              <w:t>–</w:t>
            </w:r>
            <w:r w:rsidRPr="00A00E12">
              <w:rPr>
                <w:rFonts w:ascii="Tahoma" w:hAnsi="Tahoma" w:cs="Tahoma"/>
                <w:strike/>
                <w:sz w:val="22"/>
                <w:szCs w:val="22"/>
                <w:lang w:val="en-US"/>
              </w:rPr>
              <w:t xml:space="preserve"> 1</w:t>
            </w:r>
            <w:r w:rsidR="00773214" w:rsidRPr="00A00E12">
              <w:rPr>
                <w:rFonts w:ascii="Tahoma" w:hAnsi="Tahoma" w:cs="Tahoma"/>
                <w:strike/>
                <w:sz w:val="22"/>
                <w:szCs w:val="22"/>
                <w:lang w:val="en-US"/>
              </w:rPr>
              <w:t xml:space="preserve"> </w:t>
            </w:r>
            <w:r w:rsidRPr="00A00E12">
              <w:rPr>
                <w:rFonts w:ascii="Tahoma" w:hAnsi="Tahoma" w:cs="Tahoma"/>
                <w:strike/>
                <w:sz w:val="22"/>
                <w:szCs w:val="22"/>
                <w:lang w:val="en-US"/>
              </w:rPr>
              <w:t>800 MHz</w:t>
            </w:r>
          </w:p>
        </w:tc>
        <w:tc>
          <w:tcPr>
            <w:tcW w:w="2520" w:type="dxa"/>
          </w:tcPr>
          <w:p w14:paraId="66561E30" w14:textId="1E08A461" w:rsidR="00ED31AE" w:rsidRPr="00A00E12" w:rsidRDefault="00ED31AE" w:rsidP="00EC39B5">
            <w:pPr>
              <w:pStyle w:val="BodyText2"/>
              <w:spacing w:line="240" w:lineRule="auto"/>
              <w:rPr>
                <w:rFonts w:ascii="Tahoma" w:hAnsi="Tahoma" w:cs="Tahoma"/>
                <w:strike/>
                <w:sz w:val="22"/>
                <w:szCs w:val="22"/>
                <w:lang w:val="en-US"/>
              </w:rPr>
            </w:pPr>
            <w:r w:rsidRPr="00A00E12">
              <w:rPr>
                <w:rFonts w:ascii="Tahoma" w:hAnsi="Tahoma" w:cs="Tahoma"/>
                <w:strike/>
                <w:sz w:val="22"/>
                <w:szCs w:val="22"/>
                <w:lang w:val="en-US"/>
              </w:rPr>
              <w:t xml:space="preserve">RO-IR </w:t>
            </w:r>
            <w:r w:rsidR="003A3BE6" w:rsidRPr="00A00E12">
              <w:rPr>
                <w:rFonts w:ascii="Tahoma" w:hAnsi="Tahoma" w:cs="Tahoma"/>
                <w:strike/>
                <w:sz w:val="22"/>
                <w:szCs w:val="22"/>
                <w:lang w:val="en-US"/>
              </w:rPr>
              <w:t>SRD–11–03</w:t>
            </w:r>
          </w:p>
        </w:tc>
      </w:tr>
    </w:tbl>
    <w:p w14:paraId="3D7F830A" w14:textId="77777777" w:rsidR="00FE1241" w:rsidRPr="00A00E12" w:rsidRDefault="00FE1241" w:rsidP="00AF7342">
      <w:pPr>
        <w:rPr>
          <w:rFonts w:ascii="Tahoma" w:hAnsi="Tahoma" w:cs="Tahoma"/>
          <w:sz w:val="22"/>
          <w:szCs w:val="22"/>
          <w:lang w:val="en-US"/>
        </w:rPr>
      </w:pPr>
    </w:p>
    <w:p w14:paraId="5FD2EC0D" w14:textId="04628E3B" w:rsidR="00FE1241" w:rsidRPr="0035237C" w:rsidRDefault="000918B4" w:rsidP="00AD63D7">
      <w:pPr>
        <w:pStyle w:val="BodyText2"/>
        <w:spacing w:after="0" w:line="240" w:lineRule="auto"/>
        <w:jc w:val="both"/>
        <w:rPr>
          <w:rFonts w:ascii="Tahoma" w:hAnsi="Tahoma" w:cs="Tahoma"/>
          <w:sz w:val="22"/>
          <w:szCs w:val="22"/>
          <w:lang w:val="en-US"/>
        </w:rPr>
      </w:pPr>
      <w:bookmarkStart w:id="5" w:name="_Hlk217992762"/>
      <w:bookmarkStart w:id="6" w:name="_Hlk219708057"/>
      <w:r w:rsidRPr="0035237C">
        <w:rPr>
          <w:rFonts w:ascii="Tahoma" w:hAnsi="Tahoma" w:cs="Tahoma"/>
          <w:sz w:val="22"/>
          <w:szCs w:val="22"/>
          <w:lang w:val="en-US"/>
        </w:rPr>
        <w:t xml:space="preserve">For the purpose of this technical regulation, </w:t>
      </w:r>
      <w:r w:rsidRPr="0035237C">
        <w:rPr>
          <w:rFonts w:ascii="Tahoma" w:hAnsi="Tahoma" w:cs="Tahoma"/>
          <w:i/>
          <w:iCs/>
          <w:sz w:val="22"/>
          <w:szCs w:val="22"/>
          <w:lang w:val="en-US"/>
        </w:rPr>
        <w:t>a proximity radio device (short-range device - SRD)</w:t>
      </w:r>
      <w:r w:rsidRPr="0035237C">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5"/>
      <w:r w:rsidRPr="0035237C">
        <w:rPr>
          <w:rFonts w:ascii="Tahoma" w:hAnsi="Tahoma" w:cs="Tahoma"/>
          <w:sz w:val="22"/>
          <w:szCs w:val="22"/>
          <w:lang w:val="en-US"/>
        </w:rPr>
        <w:t>.</w:t>
      </w:r>
      <w:bookmarkEnd w:id="6"/>
    </w:p>
    <w:p w14:paraId="77EA058B" w14:textId="6F1989B9" w:rsidR="009434B8" w:rsidRPr="0035237C" w:rsidRDefault="00CE2FFA" w:rsidP="00964512">
      <w:pPr>
        <w:pStyle w:val="BodyText2"/>
        <w:spacing w:before="120" w:after="0" w:line="240" w:lineRule="auto"/>
        <w:jc w:val="both"/>
        <w:rPr>
          <w:rFonts w:ascii="Tahoma" w:hAnsi="Tahoma" w:cs="Tahoma"/>
          <w:sz w:val="22"/>
          <w:szCs w:val="22"/>
          <w:lang w:val="en-US"/>
        </w:rPr>
      </w:pPr>
      <w:r w:rsidRPr="0035237C">
        <w:rPr>
          <w:rFonts w:ascii="Tahoma" w:hAnsi="Tahoma" w:cs="Tahoma"/>
          <w:sz w:val="22"/>
          <w:szCs w:val="22"/>
        </w:rPr>
        <w:t>The high duty cycle/continuous transmission device category covers radio devices that rely on low latency and high duty cycle transmissions. Typical uses are for personal wireless audio and multimedia streaming systems used for combined audio/video transmissions and audio/video sync signals, mobile phones, automotive or home entertainment system, wireless microphones, cordless loudspeakers, cordless headphones, radio devices carried on a person, assistive listening devices, in-ear monitoring, wireless microphones for use at concerts or other stage productions, and low power analogue FM transmitters</w:t>
      </w:r>
      <w:r w:rsidR="00504211" w:rsidRPr="0035237C">
        <w:rPr>
          <w:rFonts w:ascii="Tahoma" w:hAnsi="Tahoma" w:cs="Tahoma"/>
          <w:sz w:val="22"/>
          <w:szCs w:val="22"/>
          <w:lang w:val="en-US"/>
        </w:rPr>
        <w:t>.</w:t>
      </w:r>
    </w:p>
    <w:p w14:paraId="67E38AF2" w14:textId="60AE009A" w:rsidR="00CD33FD" w:rsidRPr="0035237C" w:rsidRDefault="00D6552A" w:rsidP="00964512">
      <w:pPr>
        <w:pStyle w:val="BodyText2"/>
        <w:spacing w:before="120" w:line="240" w:lineRule="auto"/>
        <w:jc w:val="both"/>
        <w:rPr>
          <w:rFonts w:ascii="Tahoma" w:hAnsi="Tahoma" w:cs="Tahoma"/>
          <w:sz w:val="22"/>
          <w:szCs w:val="22"/>
          <w:lang w:val="en-US"/>
        </w:rPr>
      </w:pPr>
      <w:r w:rsidRPr="0035237C">
        <w:rPr>
          <w:rFonts w:ascii="Tahoma" w:hAnsi="Tahoma" w:cs="Tahoma"/>
          <w:sz w:val="22"/>
          <w:szCs w:val="22"/>
          <w:lang w:val="en-GB"/>
        </w:rPr>
        <w:t>For the purpose of this technical regulation,</w:t>
      </w:r>
      <w:r w:rsidRPr="0035237C">
        <w:rPr>
          <w:rFonts w:ascii="Tahoma" w:hAnsi="Tahoma" w:cs="Tahoma"/>
          <w:bCs/>
          <w:i/>
          <w:sz w:val="22"/>
          <w:szCs w:val="22"/>
          <w:lang w:val="en-GB"/>
        </w:rPr>
        <w:t xml:space="preserve"> cordless </w:t>
      </w:r>
      <w:r w:rsidRPr="0035237C">
        <w:rPr>
          <w:rFonts w:ascii="Tahoma" w:hAnsi="Tahoma" w:cs="Tahoma"/>
          <w:bCs/>
          <w:sz w:val="22"/>
          <w:szCs w:val="22"/>
          <w:lang w:val="en-GB"/>
        </w:rPr>
        <w:t>means</w:t>
      </w:r>
      <w:r w:rsidRPr="0035237C">
        <w:rPr>
          <w:rFonts w:ascii="Tahoma" w:hAnsi="Tahoma" w:cs="Tahoma"/>
          <w:b/>
          <w:bCs/>
          <w:sz w:val="22"/>
          <w:szCs w:val="22"/>
          <w:lang w:val="en-GB"/>
        </w:rPr>
        <w:t xml:space="preserve"> </w:t>
      </w:r>
      <w:r w:rsidRPr="0035237C">
        <w:rPr>
          <w:rFonts w:ascii="Tahoma" w:hAnsi="Tahoma" w:cs="Tahoma"/>
          <w:bCs/>
          <w:sz w:val="22"/>
          <w:szCs w:val="22"/>
          <w:lang w:val="en-GB"/>
        </w:rPr>
        <w:t>the</w:t>
      </w:r>
      <w:r w:rsidRPr="0035237C">
        <w:rPr>
          <w:rFonts w:ascii="Tahoma" w:hAnsi="Tahoma" w:cs="Tahoma"/>
          <w:b/>
          <w:bCs/>
          <w:sz w:val="22"/>
          <w:szCs w:val="22"/>
          <w:lang w:val="en-GB"/>
        </w:rPr>
        <w:t xml:space="preserve"> </w:t>
      </w:r>
      <w:r w:rsidRPr="0035237C">
        <w:rPr>
          <w:rFonts w:ascii="Tahoma" w:hAnsi="Tahoma" w:cs="Tahoma"/>
          <w:sz w:val="22"/>
          <w:szCs w:val="22"/>
          <w:lang w:val="en-GB"/>
        </w:rPr>
        <w:t xml:space="preserve">link between at least two devices that do not require physical connection. While the term </w:t>
      </w:r>
      <w:r w:rsidRPr="0035237C">
        <w:rPr>
          <w:rFonts w:ascii="Tahoma" w:hAnsi="Tahoma" w:cs="Tahoma"/>
          <w:i/>
          <w:sz w:val="22"/>
          <w:szCs w:val="22"/>
          <w:lang w:val="en-GB"/>
        </w:rPr>
        <w:t>"cordless"</w:t>
      </w:r>
      <w:r w:rsidRPr="0035237C">
        <w:rPr>
          <w:rFonts w:ascii="Tahoma" w:hAnsi="Tahoma" w:cs="Tahoma"/>
          <w:sz w:val="22"/>
          <w:szCs w:val="22"/>
          <w:lang w:val="en-GB"/>
        </w:rPr>
        <w:t xml:space="preserve"> refers to infra-red or to other links which are not on radio support, in the context of this document it refers only to systems operating through the radio frequency spectrum.</w:t>
      </w:r>
    </w:p>
    <w:p w14:paraId="6B896BD3" w14:textId="77777777" w:rsidR="008E1BA9" w:rsidRPr="0035237C" w:rsidRDefault="008E1BA9" w:rsidP="008E1BA9">
      <w:pPr>
        <w:spacing w:after="120"/>
        <w:jc w:val="both"/>
        <w:rPr>
          <w:rFonts w:ascii="Tahoma" w:hAnsi="Tahoma" w:cs="Tahoma"/>
          <w:sz w:val="22"/>
          <w:szCs w:val="22"/>
          <w:lang w:val="en-US"/>
        </w:rPr>
      </w:pPr>
      <w:bookmarkStart w:id="7" w:name="_Hlk219380544"/>
      <w:r w:rsidRPr="0035237C">
        <w:rPr>
          <w:rFonts w:ascii="Tahoma" w:hAnsi="Tahoma" w:cs="Tahoma"/>
          <w:sz w:val="22"/>
          <w:szCs w:val="22"/>
          <w:lang w:val="en-US"/>
        </w:rPr>
        <w:t xml:space="preserve">For the purpose of this technical regulation, </w:t>
      </w:r>
      <w:r w:rsidRPr="0035237C">
        <w:rPr>
          <w:rFonts w:ascii="Tahoma" w:hAnsi="Tahoma" w:cs="Tahoma"/>
          <w:i/>
          <w:sz w:val="22"/>
          <w:szCs w:val="22"/>
          <w:lang w:val="en-US"/>
        </w:rPr>
        <w:t xml:space="preserve">non-interference and non-protected </w:t>
      </w:r>
      <w:r w:rsidRPr="0035237C">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35237C">
        <w:rPr>
          <w:rFonts w:ascii="Tahoma" w:hAnsi="Tahoma" w:cs="Tahoma"/>
          <w:sz w:val="22"/>
          <w:szCs w:val="22"/>
          <w:lang w:val="en-US"/>
        </w:rPr>
        <w:t>.</w:t>
      </w:r>
    </w:p>
    <w:p w14:paraId="70BD4B7D" w14:textId="47646593" w:rsidR="00613627" w:rsidRPr="0035237C" w:rsidRDefault="00093F66" w:rsidP="009F20E0">
      <w:pPr>
        <w:pStyle w:val="BodyText2"/>
        <w:spacing w:line="240" w:lineRule="auto"/>
        <w:jc w:val="both"/>
        <w:rPr>
          <w:rFonts w:ascii="Tahoma" w:hAnsi="Tahoma" w:cs="Tahoma"/>
          <w:sz w:val="22"/>
          <w:szCs w:val="22"/>
          <w:lang w:val="en-US"/>
        </w:rPr>
      </w:pPr>
      <w:bookmarkStart w:id="8" w:name="_Hlk219107984"/>
      <w:bookmarkEnd w:id="7"/>
      <w:r w:rsidRPr="0035237C">
        <w:rPr>
          <w:rFonts w:ascii="Tahoma" w:hAnsi="Tahoma" w:cs="Tahoma"/>
          <w:sz w:val="22"/>
          <w:szCs w:val="22"/>
          <w:lang w:val="en-US"/>
        </w:rPr>
        <w:lastRenderedPageBreak/>
        <w:t xml:space="preserve">The use of radio spectrum by short-range devices </w:t>
      </w:r>
      <w:bookmarkEnd w:id="8"/>
      <w:r w:rsidRPr="0035237C">
        <w:rPr>
          <w:rFonts w:ascii="Tahoma" w:hAnsi="Tahoma" w:cs="Tahoma"/>
          <w:sz w:val="22"/>
          <w:szCs w:val="22"/>
          <w:lang w:val="en-US"/>
        </w:rPr>
        <w:t xml:space="preserve">is permitted </w:t>
      </w:r>
      <w:r w:rsidRPr="0035237C">
        <w:rPr>
          <w:rFonts w:ascii="Tahoma" w:hAnsi="Tahoma" w:cs="Tahoma"/>
          <w:sz w:val="22"/>
          <w:szCs w:val="22"/>
        </w:rPr>
        <w:t>on a non-interference and non-protected basis provided that such equipment meets the conditions set out in the Annex</w:t>
      </w:r>
      <w:r w:rsidR="00613627" w:rsidRPr="0035237C">
        <w:rPr>
          <w:rFonts w:ascii="Tahoma" w:hAnsi="Tahoma" w:cs="Tahoma"/>
          <w:sz w:val="22"/>
          <w:szCs w:val="22"/>
          <w:lang w:val="en-US"/>
        </w:rPr>
        <w:t>.</w:t>
      </w:r>
    </w:p>
    <w:p w14:paraId="2905E483" w14:textId="77777777" w:rsidR="00613627" w:rsidRPr="00A00E12" w:rsidRDefault="00613627" w:rsidP="009F20E0">
      <w:pPr>
        <w:pStyle w:val="BodyText2"/>
        <w:spacing w:line="240" w:lineRule="auto"/>
        <w:jc w:val="both"/>
        <w:rPr>
          <w:rFonts w:ascii="Tahoma" w:hAnsi="Tahoma" w:cs="Tahoma"/>
          <w:sz w:val="22"/>
          <w:szCs w:val="22"/>
          <w:lang w:val="en-US"/>
        </w:rPr>
      </w:pPr>
    </w:p>
    <w:p w14:paraId="621C30DB" w14:textId="63A09DEE" w:rsidR="00F45612" w:rsidRPr="00A00E12" w:rsidRDefault="00F45612" w:rsidP="00F45612">
      <w:pPr>
        <w:pStyle w:val="BodyText2"/>
        <w:spacing w:line="240" w:lineRule="auto"/>
        <w:jc w:val="both"/>
        <w:rPr>
          <w:rFonts w:ascii="Tahoma" w:hAnsi="Tahoma" w:cs="Tahoma"/>
          <w:b/>
          <w:sz w:val="22"/>
          <w:szCs w:val="22"/>
          <w:lang w:val="en-US"/>
        </w:rPr>
      </w:pPr>
      <w:r w:rsidRPr="00A00E12">
        <w:rPr>
          <w:rFonts w:ascii="Tahoma" w:hAnsi="Tahoma" w:cs="Tahoma"/>
          <w:b/>
          <w:sz w:val="22"/>
          <w:szCs w:val="22"/>
          <w:lang w:val="en-US"/>
        </w:rPr>
        <w:t xml:space="preserve">3. </w:t>
      </w:r>
      <w:r w:rsidR="00A556C6">
        <w:rPr>
          <w:rFonts w:ascii="Tahoma" w:hAnsi="Tahoma" w:cs="Tahoma"/>
          <w:b/>
          <w:sz w:val="22"/>
          <w:szCs w:val="22"/>
          <w:lang w:val="en-US"/>
        </w:rPr>
        <w:t>D</w:t>
      </w:r>
      <w:r w:rsidRPr="00A00E12">
        <w:rPr>
          <w:rFonts w:ascii="Tahoma" w:hAnsi="Tahoma" w:cs="Tahoma"/>
          <w:b/>
          <w:sz w:val="22"/>
          <w:szCs w:val="22"/>
          <w:lang w:val="en-US"/>
        </w:rPr>
        <w:t>ocument</w:t>
      </w:r>
      <w:r w:rsidR="00A556C6">
        <w:rPr>
          <w:rFonts w:ascii="Tahoma" w:hAnsi="Tahoma" w:cs="Tahoma"/>
          <w:b/>
          <w:sz w:val="22"/>
          <w:szCs w:val="22"/>
          <w:lang w:val="en-US"/>
        </w:rPr>
        <w:t xml:space="preserve"> History</w:t>
      </w:r>
      <w:r w:rsidRPr="00A00E12">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3"/>
      </w:tblGrid>
      <w:tr w:rsidR="00F45612" w:rsidRPr="00A00E12" w14:paraId="3CD2E618" w14:textId="77777777" w:rsidTr="00964512">
        <w:trPr>
          <w:cantSplit/>
          <w:tblHeader/>
        </w:trPr>
        <w:tc>
          <w:tcPr>
            <w:tcW w:w="1073" w:type="pct"/>
            <w:shd w:val="clear" w:color="auto" w:fill="BFBFBF"/>
            <w:vAlign w:val="center"/>
          </w:tcPr>
          <w:p w14:paraId="6E8B3565" w14:textId="3B92F79C" w:rsidR="00F45612" w:rsidRPr="00A00E12" w:rsidRDefault="00F45612" w:rsidP="00600098">
            <w:pPr>
              <w:keepNext/>
              <w:keepLines/>
              <w:jc w:val="center"/>
              <w:rPr>
                <w:rFonts w:ascii="Tahoma" w:hAnsi="Tahoma" w:cs="Tahoma"/>
                <w:b/>
                <w:bCs/>
                <w:sz w:val="22"/>
                <w:szCs w:val="22"/>
                <w:lang w:val="en-US"/>
              </w:rPr>
            </w:pPr>
            <w:r w:rsidRPr="00A00E12">
              <w:rPr>
                <w:rFonts w:ascii="Tahoma" w:hAnsi="Tahoma" w:cs="Tahoma"/>
                <w:b/>
                <w:sz w:val="22"/>
                <w:szCs w:val="22"/>
                <w:lang w:val="en-US"/>
              </w:rPr>
              <w:t>Edi</w:t>
            </w:r>
            <w:r w:rsidR="00A556C6">
              <w:rPr>
                <w:rFonts w:ascii="Tahoma" w:hAnsi="Tahoma" w:cs="Tahoma"/>
                <w:b/>
                <w:sz w:val="22"/>
                <w:szCs w:val="22"/>
                <w:lang w:val="en-US"/>
              </w:rPr>
              <w:t>tion</w:t>
            </w:r>
          </w:p>
        </w:tc>
        <w:tc>
          <w:tcPr>
            <w:tcW w:w="3927" w:type="pct"/>
            <w:shd w:val="clear" w:color="auto" w:fill="BFBFBF"/>
            <w:vAlign w:val="center"/>
          </w:tcPr>
          <w:p w14:paraId="6D8C5CD9" w14:textId="6522CF74" w:rsidR="00F45612" w:rsidRPr="00A00E12" w:rsidRDefault="00A556C6" w:rsidP="00600098">
            <w:pPr>
              <w:keepNext/>
              <w:keepLines/>
              <w:jc w:val="center"/>
              <w:rPr>
                <w:rFonts w:ascii="Tahoma" w:hAnsi="Tahoma" w:cs="Tahoma"/>
                <w:b/>
                <w:bCs/>
                <w:sz w:val="22"/>
                <w:szCs w:val="22"/>
                <w:lang w:val="en-US"/>
              </w:rPr>
            </w:pPr>
            <w:r>
              <w:rPr>
                <w:rFonts w:ascii="Tahoma" w:hAnsi="Tahoma" w:cs="Tahoma"/>
                <w:b/>
                <w:sz w:val="22"/>
                <w:szCs w:val="22"/>
                <w:lang w:val="en-US"/>
              </w:rPr>
              <w:t>Changes</w:t>
            </w:r>
          </w:p>
        </w:tc>
      </w:tr>
      <w:tr w:rsidR="00F45612" w:rsidRPr="00A00E12" w14:paraId="75C6A510" w14:textId="77777777" w:rsidTr="00621606">
        <w:trPr>
          <w:cantSplit/>
          <w:trHeight w:val="514"/>
        </w:trPr>
        <w:tc>
          <w:tcPr>
            <w:tcW w:w="1073" w:type="pct"/>
            <w:vAlign w:val="center"/>
          </w:tcPr>
          <w:p w14:paraId="01D20AE7" w14:textId="0FB3C1DE" w:rsidR="00F45612" w:rsidRPr="00A00E12" w:rsidRDefault="00F45612" w:rsidP="00600098">
            <w:pPr>
              <w:spacing w:before="120" w:after="120"/>
              <w:jc w:val="center"/>
              <w:rPr>
                <w:rFonts w:ascii="Tahoma" w:hAnsi="Tahoma" w:cs="Tahoma"/>
                <w:sz w:val="22"/>
                <w:szCs w:val="22"/>
                <w:lang w:val="en-US"/>
              </w:rPr>
            </w:pPr>
            <w:r w:rsidRPr="00A00E12">
              <w:rPr>
                <w:rFonts w:ascii="Tahoma" w:hAnsi="Tahoma" w:cs="Tahoma"/>
                <w:sz w:val="22"/>
                <w:szCs w:val="22"/>
                <w:lang w:val="en-US"/>
              </w:rPr>
              <w:t>Edi</w:t>
            </w:r>
            <w:r w:rsidR="00A556C6">
              <w:rPr>
                <w:rFonts w:ascii="Tahoma" w:hAnsi="Tahoma" w:cs="Tahoma"/>
                <w:sz w:val="22"/>
                <w:szCs w:val="22"/>
                <w:lang w:val="en-US"/>
              </w:rPr>
              <w:t>tion</w:t>
            </w:r>
            <w:r w:rsidRPr="00A00E12">
              <w:rPr>
                <w:rFonts w:ascii="Tahoma" w:hAnsi="Tahoma" w:cs="Tahoma"/>
                <w:sz w:val="22"/>
                <w:szCs w:val="22"/>
                <w:lang w:val="en-US"/>
              </w:rPr>
              <w:t xml:space="preserve"> 1/2014</w:t>
            </w:r>
          </w:p>
        </w:tc>
        <w:tc>
          <w:tcPr>
            <w:tcW w:w="3927" w:type="pct"/>
            <w:vAlign w:val="center"/>
          </w:tcPr>
          <w:p w14:paraId="71F8EDC5" w14:textId="2F5ACFDF" w:rsidR="00F45612" w:rsidRPr="00A00E12" w:rsidRDefault="005B5981" w:rsidP="00600098">
            <w:pPr>
              <w:spacing w:before="120" w:after="120"/>
              <w:rPr>
                <w:rFonts w:ascii="Tahoma" w:hAnsi="Tahoma" w:cs="Tahoma"/>
                <w:sz w:val="22"/>
                <w:szCs w:val="22"/>
                <w:lang w:val="en-US"/>
              </w:rPr>
            </w:pPr>
            <w:r w:rsidRPr="00845BBF">
              <w:rPr>
                <w:rFonts w:ascii="Tahoma" w:hAnsi="Tahoma" w:cs="Tahoma"/>
                <w:sz w:val="22"/>
                <w:szCs w:val="22"/>
                <w:lang w:val="en-US"/>
              </w:rPr>
              <w:t>Notification number according to Directive 98/34/EC</w:t>
            </w:r>
            <w:r w:rsidR="00F45612" w:rsidRPr="00A00E12">
              <w:rPr>
                <w:rFonts w:ascii="Tahoma" w:hAnsi="Tahoma" w:cs="Tahoma"/>
                <w:sz w:val="22"/>
                <w:szCs w:val="22"/>
                <w:lang w:val="en-US"/>
              </w:rPr>
              <w:t>: 2014/608/RO</w:t>
            </w:r>
            <w:r w:rsidR="00683A78" w:rsidRPr="00A00E12">
              <w:rPr>
                <w:rFonts w:ascii="Tahoma" w:hAnsi="Tahoma" w:cs="Tahoma"/>
                <w:sz w:val="22"/>
                <w:szCs w:val="22"/>
                <w:lang w:val="en-US"/>
              </w:rPr>
              <w:t>.</w:t>
            </w:r>
          </w:p>
        </w:tc>
      </w:tr>
      <w:tr w:rsidR="00F45612" w:rsidRPr="00A00E12" w14:paraId="7D5130A9" w14:textId="77777777" w:rsidTr="00621606">
        <w:trPr>
          <w:cantSplit/>
          <w:trHeight w:val="1966"/>
        </w:trPr>
        <w:tc>
          <w:tcPr>
            <w:tcW w:w="1073" w:type="pct"/>
            <w:vAlign w:val="center"/>
          </w:tcPr>
          <w:p w14:paraId="60B74960" w14:textId="63D23FA6" w:rsidR="00F45612" w:rsidRPr="00A00E12" w:rsidRDefault="00F45612" w:rsidP="00600098">
            <w:pPr>
              <w:spacing w:before="120" w:after="120"/>
              <w:jc w:val="center"/>
              <w:rPr>
                <w:rFonts w:ascii="Tahoma" w:hAnsi="Tahoma" w:cs="Tahoma"/>
                <w:sz w:val="22"/>
                <w:szCs w:val="22"/>
                <w:lang w:val="en-US"/>
              </w:rPr>
            </w:pPr>
            <w:r w:rsidRPr="00A00E12">
              <w:rPr>
                <w:rFonts w:ascii="Tahoma" w:hAnsi="Tahoma" w:cs="Tahoma"/>
                <w:sz w:val="22"/>
                <w:szCs w:val="22"/>
                <w:lang w:val="en-US"/>
              </w:rPr>
              <w:t>Edi</w:t>
            </w:r>
            <w:r w:rsidR="00A556C6">
              <w:rPr>
                <w:rFonts w:ascii="Tahoma" w:hAnsi="Tahoma" w:cs="Tahoma"/>
                <w:sz w:val="22"/>
                <w:szCs w:val="22"/>
                <w:lang w:val="en-US"/>
              </w:rPr>
              <w:t>tion</w:t>
            </w:r>
            <w:r w:rsidRPr="00A00E12">
              <w:rPr>
                <w:rFonts w:ascii="Tahoma" w:hAnsi="Tahoma" w:cs="Tahoma"/>
                <w:sz w:val="22"/>
                <w:szCs w:val="22"/>
                <w:lang w:val="en-US"/>
              </w:rPr>
              <w:t xml:space="preserve"> 2/2018</w:t>
            </w:r>
          </w:p>
          <w:p w14:paraId="7286DDBC" w14:textId="77777777" w:rsidR="007E27A3" w:rsidRPr="00A00E12" w:rsidRDefault="007E27A3" w:rsidP="00600098">
            <w:pPr>
              <w:spacing w:before="120" w:after="120"/>
              <w:jc w:val="center"/>
              <w:rPr>
                <w:rFonts w:ascii="Tahoma" w:hAnsi="Tahoma" w:cs="Tahoma"/>
                <w:sz w:val="22"/>
                <w:szCs w:val="22"/>
                <w:lang w:val="en-US"/>
              </w:rPr>
            </w:pPr>
            <w:r w:rsidRPr="00A00E12">
              <w:rPr>
                <w:rFonts w:ascii="Tahoma" w:hAnsi="Tahoma" w:cs="Tahoma"/>
                <w:sz w:val="22"/>
                <w:szCs w:val="22"/>
                <w:lang w:val="en-US"/>
              </w:rPr>
              <w:t>(06.08.2018)</w:t>
            </w:r>
          </w:p>
        </w:tc>
        <w:tc>
          <w:tcPr>
            <w:tcW w:w="3927" w:type="pct"/>
            <w:vAlign w:val="center"/>
          </w:tcPr>
          <w:p w14:paraId="3AF56AC9" w14:textId="4FF8BFC2" w:rsidR="00F45612" w:rsidRPr="00A00E12" w:rsidRDefault="00946BEB" w:rsidP="00683A78">
            <w:pPr>
              <w:spacing w:before="120"/>
              <w:jc w:val="both"/>
              <w:rPr>
                <w:rFonts w:ascii="Tahoma" w:hAnsi="Tahoma" w:cs="Tahoma"/>
                <w:sz w:val="22"/>
                <w:szCs w:val="22"/>
                <w:lang w:val="en-US"/>
              </w:rPr>
            </w:pPr>
            <w:r w:rsidRPr="00845BBF">
              <w:rPr>
                <w:rFonts w:ascii="Tahoma" w:hAnsi="Tahoma" w:cs="Tahoma"/>
                <w:sz w:val="22"/>
                <w:szCs w:val="22"/>
                <w:lang w:val="en-US"/>
              </w:rPr>
              <w:t>Update according to Commission Implementing Decision (EU) 2017/1483 amending Decision 2006/771/EC on harmonization of the radio spectrum for use by short-range devices and repealing Decision 2006/804/EC</w:t>
            </w:r>
            <w:r w:rsidR="00F45612" w:rsidRPr="00A00E12">
              <w:rPr>
                <w:rFonts w:ascii="Tahoma" w:hAnsi="Tahoma" w:cs="Tahoma"/>
                <w:sz w:val="22"/>
                <w:szCs w:val="22"/>
                <w:lang w:val="en-US"/>
              </w:rPr>
              <w:t>:</w:t>
            </w:r>
          </w:p>
          <w:p w14:paraId="740E73AA" w14:textId="06AA64D9" w:rsidR="00F45612" w:rsidRPr="00A00E12" w:rsidRDefault="007137C9" w:rsidP="00600098">
            <w:pPr>
              <w:pStyle w:val="ListParagraph"/>
              <w:numPr>
                <w:ilvl w:val="0"/>
                <w:numId w:val="33"/>
              </w:numPr>
              <w:spacing w:after="0" w:line="276" w:lineRule="auto"/>
              <w:ind w:left="714" w:hanging="357"/>
            </w:pPr>
            <w:r w:rsidRPr="00295344">
              <w:rPr>
                <w:rFonts w:ascii="Tahoma" w:hAnsi="Tahoma" w:cs="Tahoma"/>
                <w:lang w:val="en-GB"/>
              </w:rPr>
              <w:t>Update of the specifications for the radio interface</w:t>
            </w:r>
            <w:r w:rsidRPr="00295344" w:rsidDel="00AF75BD">
              <w:rPr>
                <w:rFonts w:ascii="Tahoma" w:hAnsi="Tahoma" w:cs="Tahoma"/>
                <w:lang w:val="en-GB"/>
              </w:rPr>
              <w:t xml:space="preserve"> </w:t>
            </w:r>
            <w:r w:rsidR="00904EA7" w:rsidRPr="00A00E12">
              <w:rPr>
                <w:rFonts w:ascii="Tahoma" w:hAnsi="Tahoma" w:cs="Tahoma"/>
              </w:rPr>
              <w:t>(RO-IR 13-01, RO-IR 13-02)</w:t>
            </w:r>
          </w:p>
          <w:p w14:paraId="69782802" w14:textId="1C8A8174" w:rsidR="004A0CFD" w:rsidRPr="00A00E12" w:rsidRDefault="008D3BA9" w:rsidP="00477AEE">
            <w:pPr>
              <w:pStyle w:val="ListParagraph"/>
              <w:spacing w:after="120" w:line="240" w:lineRule="auto"/>
              <w:ind w:left="0"/>
              <w:jc w:val="both"/>
              <w:rPr>
                <w:rFonts w:ascii="Tahoma" w:hAnsi="Tahoma" w:cs="Tahoma"/>
              </w:rPr>
            </w:pPr>
            <w:r w:rsidRPr="008D3BA9">
              <w:rPr>
                <w:rFonts w:ascii="Tahoma" w:hAnsi="Tahoma" w:cs="Tahoma"/>
                <w:lang w:val="ro-RO"/>
              </w:rPr>
              <w:t>RO-IR 13-03 has been withdrawn (the 864.8–865 MHz frequency band is no longer covered by ERC/REC 70-03</w:t>
            </w:r>
            <w:r w:rsidR="004A0CFD" w:rsidRPr="00A00E12">
              <w:rPr>
                <w:rFonts w:ascii="Tahoma" w:hAnsi="Tahoma" w:cs="Tahoma"/>
              </w:rPr>
              <w:t>)</w:t>
            </w:r>
            <w:r w:rsidR="00BF53F4" w:rsidRPr="00A00E12">
              <w:rPr>
                <w:rFonts w:ascii="Tahoma" w:hAnsi="Tahoma" w:cs="Tahoma"/>
              </w:rPr>
              <w:t>;</w:t>
            </w:r>
          </w:p>
          <w:p w14:paraId="41A3BA41" w14:textId="03D31FAC" w:rsidR="00F45612" w:rsidRPr="00A00E12" w:rsidRDefault="003D23C0" w:rsidP="003D23C0">
            <w:pPr>
              <w:pStyle w:val="ListParagraph"/>
              <w:spacing w:after="120" w:line="240" w:lineRule="auto"/>
              <w:ind w:left="0"/>
              <w:jc w:val="both"/>
              <w:rPr>
                <w:rFonts w:ascii="Tahoma" w:hAnsi="Tahoma" w:cs="Tahoma"/>
              </w:rPr>
            </w:pPr>
            <w:r w:rsidRPr="00845BBF">
              <w:rPr>
                <w:rFonts w:ascii="Tahoma" w:hAnsi="Tahoma" w:cs="Tahoma"/>
              </w:rPr>
              <w:t>Update of the legal framework according to Point 1 – „Basic considerations</w:t>
            </w:r>
            <w:r w:rsidR="00F45612" w:rsidRPr="00A00E12">
              <w:rPr>
                <w:rFonts w:ascii="Tahoma" w:hAnsi="Tahoma" w:cs="Tahoma"/>
              </w:rPr>
              <w:t>”</w:t>
            </w:r>
            <w:r w:rsidR="00773214" w:rsidRPr="00A00E12">
              <w:rPr>
                <w:rFonts w:ascii="Tahoma" w:hAnsi="Tahoma" w:cs="Tahoma"/>
              </w:rPr>
              <w:t>;</w:t>
            </w:r>
          </w:p>
          <w:p w14:paraId="412D2E2C" w14:textId="75063F53" w:rsidR="00F45612" w:rsidRPr="00A00E12" w:rsidRDefault="008D4F97" w:rsidP="00600098">
            <w:pPr>
              <w:pStyle w:val="ListParagraph"/>
              <w:spacing w:after="120" w:line="240" w:lineRule="auto"/>
              <w:ind w:left="0"/>
              <w:rPr>
                <w:rFonts w:ascii="Tahoma" w:hAnsi="Tahoma" w:cs="Tahoma"/>
              </w:rPr>
            </w:pPr>
            <w:r w:rsidRPr="00845BBF">
              <w:rPr>
                <w:rFonts w:ascii="Tahoma" w:hAnsi="Tahoma" w:cs="Tahoma"/>
              </w:rPr>
              <w:t xml:space="preserve">Formal changes according to TCAM-RSC model of November </w:t>
            </w:r>
            <w:r w:rsidR="00F45612" w:rsidRPr="00A00E12">
              <w:rPr>
                <w:rFonts w:ascii="Tahoma" w:hAnsi="Tahoma" w:cs="Tahoma"/>
              </w:rPr>
              <w:t>2017.</w:t>
            </w:r>
          </w:p>
        </w:tc>
      </w:tr>
      <w:tr w:rsidR="00134A26" w:rsidRPr="00A00E12" w14:paraId="68E2AD87" w14:textId="77777777" w:rsidTr="00621606">
        <w:trPr>
          <w:cantSplit/>
          <w:trHeight w:val="1966"/>
        </w:trPr>
        <w:tc>
          <w:tcPr>
            <w:tcW w:w="1073" w:type="pct"/>
            <w:vAlign w:val="center"/>
          </w:tcPr>
          <w:p w14:paraId="2EC4CC11" w14:textId="4522AD04" w:rsidR="00134A26" w:rsidRPr="00A00E12" w:rsidRDefault="00134A26" w:rsidP="00134A26">
            <w:pPr>
              <w:spacing w:before="120" w:after="120"/>
              <w:jc w:val="center"/>
              <w:rPr>
                <w:rFonts w:ascii="Tahoma" w:hAnsi="Tahoma" w:cs="Tahoma"/>
                <w:sz w:val="22"/>
                <w:szCs w:val="22"/>
                <w:lang w:val="en-US"/>
              </w:rPr>
            </w:pPr>
            <w:r w:rsidRPr="00A00E12">
              <w:rPr>
                <w:rFonts w:ascii="Tahoma" w:hAnsi="Tahoma" w:cs="Tahoma"/>
                <w:sz w:val="22"/>
                <w:szCs w:val="22"/>
                <w:lang w:val="en-US"/>
              </w:rPr>
              <w:t>Edi</w:t>
            </w:r>
            <w:r w:rsidR="00A556C6">
              <w:rPr>
                <w:rFonts w:ascii="Tahoma" w:hAnsi="Tahoma" w:cs="Tahoma"/>
                <w:sz w:val="22"/>
                <w:szCs w:val="22"/>
                <w:lang w:val="en-US"/>
              </w:rPr>
              <w:t>tion</w:t>
            </w:r>
            <w:r w:rsidRPr="00A00E12">
              <w:rPr>
                <w:rFonts w:ascii="Tahoma" w:hAnsi="Tahoma" w:cs="Tahoma"/>
                <w:sz w:val="22"/>
                <w:szCs w:val="22"/>
                <w:lang w:val="en-US"/>
              </w:rPr>
              <w:t xml:space="preserve"> 3/2020</w:t>
            </w:r>
          </w:p>
          <w:p w14:paraId="4ED567A4" w14:textId="6C0C5D8A" w:rsidR="00134A26" w:rsidRPr="00A00E12" w:rsidRDefault="00134A26" w:rsidP="00134A26">
            <w:pPr>
              <w:spacing w:before="120" w:after="120"/>
              <w:jc w:val="center"/>
              <w:rPr>
                <w:rFonts w:ascii="Tahoma" w:hAnsi="Tahoma" w:cs="Tahoma"/>
                <w:sz w:val="22"/>
                <w:szCs w:val="22"/>
                <w:lang w:val="en-US"/>
              </w:rPr>
            </w:pPr>
            <w:r w:rsidRPr="00A00E12">
              <w:rPr>
                <w:rFonts w:ascii="Tahoma" w:hAnsi="Tahoma" w:cs="Tahoma"/>
                <w:lang w:val="en-US"/>
              </w:rPr>
              <w:t>(</w:t>
            </w:r>
            <w:r w:rsidR="00F00A34" w:rsidRPr="00A00E12">
              <w:rPr>
                <w:rFonts w:ascii="Tahoma" w:hAnsi="Tahoma" w:cs="Tahoma"/>
                <w:sz w:val="22"/>
                <w:szCs w:val="22"/>
                <w:lang w:val="en-US"/>
              </w:rPr>
              <w:t>23.12.2020</w:t>
            </w:r>
            <w:r w:rsidRPr="00A00E12">
              <w:rPr>
                <w:rFonts w:ascii="Tahoma" w:hAnsi="Tahoma" w:cs="Tahoma"/>
                <w:lang w:val="en-US"/>
              </w:rPr>
              <w:t>)</w:t>
            </w:r>
          </w:p>
        </w:tc>
        <w:tc>
          <w:tcPr>
            <w:tcW w:w="3927" w:type="pct"/>
            <w:vAlign w:val="center"/>
          </w:tcPr>
          <w:p w14:paraId="6BF5D2A5" w14:textId="57E1CB4B" w:rsidR="00134A26" w:rsidRPr="00A00E12" w:rsidRDefault="00022B4F" w:rsidP="00134A26">
            <w:pPr>
              <w:spacing w:before="120"/>
              <w:jc w:val="both"/>
              <w:rPr>
                <w:rFonts w:ascii="Tahoma" w:hAnsi="Tahoma" w:cs="Tahoma"/>
                <w:sz w:val="22"/>
                <w:szCs w:val="22"/>
                <w:lang w:val="en-US"/>
              </w:rPr>
            </w:pPr>
            <w:r w:rsidRPr="00022B4F">
              <w:rPr>
                <w:rFonts w:ascii="Tahoma" w:hAnsi="Tahoma" w:cs="Tahoma"/>
                <w:sz w:val="22"/>
                <w:szCs w:val="22"/>
                <w:lang w:val="en-US"/>
              </w:rPr>
              <w:t>Update according to Commission Implementing Decision (EU) 2019/1345 amending Decision 2006/771/EC updating harmonized technical conditions in the area of radio spectrum use for short-range devices</w:t>
            </w:r>
            <w:bookmarkStart w:id="9" w:name="_Hlk35865671"/>
            <w:r w:rsidR="00134A26" w:rsidRPr="00A00E12">
              <w:rPr>
                <w:rFonts w:ascii="Tahoma" w:hAnsi="Tahoma" w:cs="Tahoma"/>
                <w:sz w:val="22"/>
                <w:szCs w:val="22"/>
                <w:lang w:val="en-US"/>
              </w:rPr>
              <w:t>:</w:t>
            </w:r>
            <w:bookmarkEnd w:id="9"/>
          </w:p>
          <w:p w14:paraId="509EFC80" w14:textId="403BE649" w:rsidR="00EC39B5" w:rsidRPr="00A00E12" w:rsidRDefault="00022B4F" w:rsidP="00134A26">
            <w:pPr>
              <w:numPr>
                <w:ilvl w:val="0"/>
                <w:numId w:val="34"/>
              </w:numPr>
              <w:spacing w:before="120"/>
              <w:jc w:val="both"/>
              <w:rPr>
                <w:rFonts w:ascii="Tahoma" w:eastAsia="Calibri" w:hAnsi="Tahoma" w:cs="Tahoma"/>
                <w:sz w:val="22"/>
                <w:szCs w:val="22"/>
                <w:lang w:val="en-US" w:eastAsia="en-US"/>
              </w:rPr>
            </w:pPr>
            <w:r>
              <w:rPr>
                <w:rFonts w:ascii="Tahoma" w:eastAsia="Calibri" w:hAnsi="Tahoma" w:cs="Tahoma"/>
                <w:sz w:val="22"/>
                <w:szCs w:val="22"/>
                <w:lang w:val="en-US" w:eastAsia="en-US"/>
              </w:rPr>
              <w:t>Update of some</w:t>
            </w:r>
            <w:r w:rsidR="00134A26" w:rsidRPr="00A00E12">
              <w:rPr>
                <w:rFonts w:ascii="Tahoma" w:eastAsia="Calibri" w:hAnsi="Tahoma" w:cs="Tahoma"/>
                <w:sz w:val="22"/>
                <w:szCs w:val="22"/>
                <w:lang w:val="en-US" w:eastAsia="en-US"/>
              </w:rPr>
              <w:t xml:space="preserve"> defini</w:t>
            </w:r>
            <w:r>
              <w:rPr>
                <w:rFonts w:ascii="Tahoma" w:eastAsia="Calibri" w:hAnsi="Tahoma" w:cs="Tahoma"/>
                <w:sz w:val="22"/>
                <w:szCs w:val="22"/>
                <w:lang w:val="en-US" w:eastAsia="en-US"/>
              </w:rPr>
              <w:t>tions</w:t>
            </w:r>
            <w:r w:rsidR="00134A26" w:rsidRPr="00A00E12">
              <w:rPr>
                <w:rFonts w:ascii="Tahoma" w:eastAsia="Calibri" w:hAnsi="Tahoma" w:cs="Tahoma"/>
                <w:sz w:val="22"/>
                <w:szCs w:val="22"/>
                <w:lang w:val="en-US" w:eastAsia="en-US"/>
              </w:rPr>
              <w:t xml:space="preserve"> </w:t>
            </w:r>
            <w:r>
              <w:rPr>
                <w:rFonts w:ascii="Tahoma" w:eastAsia="Calibri" w:hAnsi="Tahoma" w:cs="Tahoma"/>
                <w:sz w:val="22"/>
                <w:szCs w:val="22"/>
                <w:lang w:val="en-US" w:eastAsia="en-US"/>
              </w:rPr>
              <w:t>and</w:t>
            </w:r>
            <w:r w:rsidR="00134A26" w:rsidRPr="00A00E12">
              <w:rPr>
                <w:rFonts w:ascii="Tahoma" w:eastAsia="Calibri" w:hAnsi="Tahoma" w:cs="Tahoma"/>
                <w:sz w:val="22"/>
                <w:szCs w:val="22"/>
                <w:lang w:val="en-US" w:eastAsia="en-US"/>
              </w:rPr>
              <w:t xml:space="preserve"> term</w:t>
            </w:r>
            <w:r>
              <w:rPr>
                <w:rFonts w:ascii="Tahoma" w:eastAsia="Calibri" w:hAnsi="Tahoma" w:cs="Tahoma"/>
                <w:sz w:val="22"/>
                <w:szCs w:val="22"/>
                <w:lang w:val="en-US" w:eastAsia="en-US"/>
              </w:rPr>
              <w:t>s</w:t>
            </w:r>
            <w:r w:rsidR="00EC39B5" w:rsidRPr="00A00E12">
              <w:rPr>
                <w:rFonts w:ascii="Tahoma" w:eastAsia="Calibri" w:hAnsi="Tahoma" w:cs="Tahoma"/>
                <w:sz w:val="22"/>
                <w:szCs w:val="22"/>
                <w:lang w:val="en-US" w:eastAsia="en-US"/>
              </w:rPr>
              <w:t>;</w:t>
            </w:r>
          </w:p>
          <w:p w14:paraId="7E499E60" w14:textId="2A7CEE2B" w:rsidR="00134A26" w:rsidRPr="00A00E12" w:rsidRDefault="00EC39B5" w:rsidP="00134A26">
            <w:pPr>
              <w:numPr>
                <w:ilvl w:val="0"/>
                <w:numId w:val="34"/>
              </w:numPr>
              <w:spacing w:before="120"/>
              <w:jc w:val="both"/>
              <w:rPr>
                <w:rFonts w:ascii="Tahoma" w:hAnsi="Tahoma" w:cs="Tahoma"/>
                <w:sz w:val="22"/>
                <w:szCs w:val="22"/>
                <w:lang w:val="en-US"/>
              </w:rPr>
            </w:pPr>
            <w:r w:rsidRPr="00A00E12">
              <w:rPr>
                <w:rFonts w:ascii="Tahoma" w:eastAsia="Calibri" w:hAnsi="Tahoma" w:cs="Tahoma"/>
                <w:sz w:val="22"/>
                <w:szCs w:val="22"/>
                <w:lang w:val="en-US" w:eastAsia="en-US"/>
              </w:rPr>
              <w:t>Renum</w:t>
            </w:r>
            <w:r w:rsidR="003F349B">
              <w:rPr>
                <w:rFonts w:ascii="Tahoma" w:eastAsia="Calibri" w:hAnsi="Tahoma" w:cs="Tahoma"/>
                <w:sz w:val="22"/>
                <w:szCs w:val="22"/>
                <w:lang w:val="en-US" w:eastAsia="en-US"/>
              </w:rPr>
              <w:t xml:space="preserve">bering of </w:t>
            </w:r>
            <w:r w:rsidRPr="00A00E12">
              <w:rPr>
                <w:rFonts w:ascii="Tahoma" w:hAnsi="Tahoma" w:cs="Tahoma"/>
                <w:sz w:val="22"/>
                <w:szCs w:val="22"/>
                <w:lang w:val="en-US"/>
              </w:rPr>
              <w:t>an</w:t>
            </w:r>
            <w:r w:rsidR="003F349B">
              <w:rPr>
                <w:rFonts w:ascii="Tahoma" w:hAnsi="Tahoma" w:cs="Tahoma"/>
                <w:sz w:val="22"/>
                <w:szCs w:val="22"/>
                <w:lang w:val="en-US"/>
              </w:rPr>
              <w:t>n</w:t>
            </w:r>
            <w:r w:rsidRPr="00A00E12">
              <w:rPr>
                <w:rFonts w:ascii="Tahoma" w:hAnsi="Tahoma" w:cs="Tahoma"/>
                <w:sz w:val="22"/>
                <w:szCs w:val="22"/>
                <w:lang w:val="en-US"/>
              </w:rPr>
              <w:t>exe</w:t>
            </w:r>
            <w:r w:rsidR="003F349B">
              <w:rPr>
                <w:rFonts w:ascii="Tahoma" w:hAnsi="Tahoma" w:cs="Tahoma"/>
                <w:sz w:val="22"/>
                <w:szCs w:val="22"/>
                <w:lang w:val="en-US"/>
              </w:rPr>
              <w:t>s</w:t>
            </w:r>
            <w:r w:rsidRPr="00A00E12">
              <w:rPr>
                <w:rFonts w:ascii="Tahoma" w:hAnsi="Tahoma" w:cs="Tahoma"/>
                <w:sz w:val="22"/>
                <w:szCs w:val="22"/>
                <w:lang w:val="en-US"/>
              </w:rPr>
              <w:t>.</w:t>
            </w:r>
          </w:p>
          <w:p w14:paraId="1D63DA7E" w14:textId="200577B8" w:rsidR="00134A26" w:rsidRPr="00A00E12" w:rsidRDefault="00FC7BC9" w:rsidP="00134A26">
            <w:pPr>
              <w:spacing w:before="120"/>
              <w:jc w:val="both"/>
              <w:rPr>
                <w:rFonts w:ascii="Tahoma" w:hAnsi="Tahoma" w:cs="Tahoma"/>
                <w:sz w:val="22"/>
                <w:szCs w:val="22"/>
                <w:lang w:val="en-US"/>
              </w:rPr>
            </w:pPr>
            <w:r w:rsidRPr="00295344">
              <w:rPr>
                <w:rFonts w:ascii="Tahoma" w:hAnsi="Tahoma" w:cs="Tahoma"/>
                <w:sz w:val="22"/>
                <w:szCs w:val="22"/>
                <w:lang w:val="en-GB"/>
              </w:rPr>
              <w:t>Update of the legal framework according to Point 1 – „Basic considerations” and reference documents</w:t>
            </w:r>
            <w:r w:rsidR="001327F4" w:rsidRPr="00A00E12">
              <w:rPr>
                <w:rFonts w:ascii="Tahoma" w:hAnsi="Tahoma" w:cs="Tahoma"/>
                <w:sz w:val="22"/>
                <w:szCs w:val="22"/>
                <w:lang w:val="en-US"/>
              </w:rPr>
              <w:t>.</w:t>
            </w:r>
          </w:p>
          <w:p w14:paraId="694DCDF2" w14:textId="05167963" w:rsidR="00D263D9" w:rsidRPr="00A00E12" w:rsidRDefault="005C70E9" w:rsidP="00134A26">
            <w:pPr>
              <w:spacing w:before="120"/>
              <w:jc w:val="both"/>
              <w:rPr>
                <w:rFonts w:ascii="Tahoma" w:hAnsi="Tahoma" w:cs="Tahoma"/>
                <w:sz w:val="22"/>
                <w:szCs w:val="22"/>
                <w:lang w:val="en-US"/>
              </w:rPr>
            </w:pPr>
            <w:r w:rsidRPr="00845BBF">
              <w:rPr>
                <w:rFonts w:ascii="Tahoma" w:hAnsi="Tahoma" w:cs="Tahoma"/>
                <w:sz w:val="22"/>
                <w:szCs w:val="22"/>
                <w:lang w:val="en-US"/>
              </w:rPr>
              <w:t xml:space="preserve">Update according to the list of  Class 1 radio equipment subclasses (version of January 2020)  published according to Article 1 Paragraph (3) </w:t>
            </w:r>
            <w:r>
              <w:rPr>
                <w:rFonts w:ascii="Tahoma" w:hAnsi="Tahoma" w:cs="Tahoma"/>
                <w:sz w:val="22"/>
                <w:szCs w:val="22"/>
                <w:lang w:val="en-US"/>
              </w:rPr>
              <w:t xml:space="preserve">of </w:t>
            </w:r>
            <w:r w:rsidRPr="00845BBF">
              <w:rPr>
                <w:rFonts w:ascii="Tahoma" w:hAnsi="Tahoma" w:cs="Tahoma"/>
                <w:sz w:val="22"/>
                <w:szCs w:val="22"/>
                <w:lang w:val="en-US"/>
              </w:rPr>
              <w:t xml:space="preserve">Commission  Decision 2000/299/EC </w:t>
            </w:r>
            <w:r w:rsidR="00D263D9" w:rsidRPr="00A00E12">
              <w:rPr>
                <w:rFonts w:ascii="Tahoma" w:hAnsi="Tahoma" w:cs="Tahoma"/>
                <w:lang w:val="en-US"/>
              </w:rPr>
              <w:t>(</w:t>
            </w:r>
            <w:hyperlink r:id="rId10" w:history="1">
              <w:r w:rsidR="00D263D9" w:rsidRPr="00A00E12">
                <w:rPr>
                  <w:rStyle w:val="Hyperlink"/>
                  <w:rFonts w:ascii="Tahoma" w:hAnsi="Tahoma" w:cs="Tahoma"/>
                  <w:color w:val="0070C0"/>
                  <w:shd w:val="clear" w:color="auto" w:fill="FFFFFF"/>
                  <w:lang w:val="en-US"/>
                </w:rPr>
                <w:t>https://ec.europa.eu/docsroom/documents/40361</w:t>
              </w:r>
            </w:hyperlink>
            <w:r w:rsidR="00D263D9" w:rsidRPr="00A00E12">
              <w:rPr>
                <w:rFonts w:ascii="Tahoma" w:hAnsi="Tahoma" w:cs="Tahoma"/>
                <w:color w:val="212121"/>
                <w:shd w:val="clear" w:color="auto" w:fill="FFFFFF"/>
                <w:lang w:val="en-US"/>
              </w:rPr>
              <w:t>).</w:t>
            </w:r>
          </w:p>
        </w:tc>
      </w:tr>
      <w:tr w:rsidR="00872530" w:rsidRPr="00A00E12" w14:paraId="59102EC5" w14:textId="77777777" w:rsidTr="00621606">
        <w:trPr>
          <w:cantSplit/>
          <w:trHeight w:val="1966"/>
        </w:trPr>
        <w:tc>
          <w:tcPr>
            <w:tcW w:w="1073" w:type="pct"/>
            <w:vAlign w:val="center"/>
          </w:tcPr>
          <w:p w14:paraId="766DABD3" w14:textId="1A94DFCA" w:rsidR="00872530" w:rsidRPr="00A00E12" w:rsidRDefault="00872530" w:rsidP="00872530">
            <w:pPr>
              <w:spacing w:before="120" w:after="120"/>
              <w:jc w:val="center"/>
              <w:rPr>
                <w:rFonts w:ascii="Tahoma" w:hAnsi="Tahoma" w:cs="Tahoma"/>
                <w:sz w:val="22"/>
                <w:szCs w:val="22"/>
                <w:lang w:val="en-US"/>
              </w:rPr>
            </w:pPr>
            <w:r w:rsidRPr="00A00E12">
              <w:rPr>
                <w:rFonts w:ascii="Tahoma" w:hAnsi="Tahoma" w:cs="Tahoma"/>
                <w:sz w:val="22"/>
                <w:szCs w:val="22"/>
                <w:lang w:val="en-US"/>
              </w:rPr>
              <w:t>Edi</w:t>
            </w:r>
            <w:r w:rsidR="00A556C6">
              <w:rPr>
                <w:rFonts w:ascii="Tahoma" w:hAnsi="Tahoma" w:cs="Tahoma"/>
                <w:sz w:val="22"/>
                <w:szCs w:val="22"/>
                <w:lang w:val="en-US"/>
              </w:rPr>
              <w:t>tion</w:t>
            </w:r>
            <w:r w:rsidRPr="00A00E12">
              <w:rPr>
                <w:rFonts w:ascii="Tahoma" w:hAnsi="Tahoma" w:cs="Tahoma"/>
                <w:sz w:val="22"/>
                <w:szCs w:val="22"/>
                <w:lang w:val="en-US"/>
              </w:rPr>
              <w:t xml:space="preserve"> 4/2022</w:t>
            </w:r>
          </w:p>
          <w:p w14:paraId="7DBEFED3" w14:textId="6C7BD423" w:rsidR="00872530" w:rsidRPr="00A00E12" w:rsidRDefault="00872530" w:rsidP="00872530">
            <w:pPr>
              <w:spacing w:before="120" w:after="120"/>
              <w:jc w:val="center"/>
              <w:rPr>
                <w:rFonts w:ascii="Tahoma" w:hAnsi="Tahoma" w:cs="Tahoma"/>
                <w:sz w:val="22"/>
                <w:szCs w:val="22"/>
                <w:lang w:val="en-US"/>
              </w:rPr>
            </w:pPr>
            <w:r w:rsidRPr="00A00E12">
              <w:rPr>
                <w:rFonts w:ascii="Tahoma" w:hAnsi="Tahoma" w:cs="Tahoma"/>
                <w:sz w:val="22"/>
                <w:szCs w:val="22"/>
                <w:lang w:val="en-US"/>
              </w:rPr>
              <w:t>(</w:t>
            </w:r>
            <w:r w:rsidR="001B4222" w:rsidRPr="00A00E12">
              <w:rPr>
                <w:rFonts w:ascii="Tahoma" w:hAnsi="Tahoma" w:cs="Tahoma"/>
                <w:sz w:val="22"/>
                <w:szCs w:val="22"/>
                <w:lang w:val="en-US"/>
              </w:rPr>
              <w:t>11</w:t>
            </w:r>
            <w:r w:rsidRPr="00A00E12">
              <w:rPr>
                <w:rFonts w:ascii="Tahoma" w:hAnsi="Tahoma" w:cs="Tahoma"/>
                <w:sz w:val="22"/>
                <w:szCs w:val="22"/>
                <w:lang w:val="en-US"/>
              </w:rPr>
              <w:t>.</w:t>
            </w:r>
            <w:r w:rsidR="00290C27" w:rsidRPr="00A00E12">
              <w:rPr>
                <w:rFonts w:ascii="Tahoma" w:hAnsi="Tahoma" w:cs="Tahoma"/>
                <w:sz w:val="22"/>
                <w:szCs w:val="22"/>
                <w:lang w:val="en-US"/>
              </w:rPr>
              <w:t>10.2022</w:t>
            </w:r>
            <w:r w:rsidRPr="00A00E12">
              <w:rPr>
                <w:rFonts w:ascii="Tahoma" w:hAnsi="Tahoma" w:cs="Tahoma"/>
                <w:sz w:val="22"/>
                <w:szCs w:val="22"/>
                <w:lang w:val="en-US"/>
              </w:rPr>
              <w:t>)</w:t>
            </w:r>
          </w:p>
        </w:tc>
        <w:tc>
          <w:tcPr>
            <w:tcW w:w="3927" w:type="pct"/>
            <w:vAlign w:val="center"/>
          </w:tcPr>
          <w:p w14:paraId="2D8B6FD7" w14:textId="72273C06" w:rsidR="00872530" w:rsidRPr="00A00E12" w:rsidRDefault="00773FB8" w:rsidP="00872530">
            <w:pPr>
              <w:spacing w:before="120" w:line="276" w:lineRule="auto"/>
              <w:jc w:val="both"/>
              <w:rPr>
                <w:rFonts w:ascii="Tahoma" w:hAnsi="Tahoma" w:cs="Tahoma"/>
                <w:sz w:val="22"/>
                <w:szCs w:val="22"/>
                <w:lang w:val="en-US"/>
              </w:rPr>
            </w:pPr>
            <w:r w:rsidRPr="00845BBF">
              <w:rPr>
                <w:rFonts w:ascii="Tahoma" w:hAnsi="Tahoma" w:cs="Tahoma"/>
                <w:sz w:val="22"/>
                <w:szCs w:val="22"/>
                <w:lang w:val="en-US"/>
              </w:rPr>
              <w:t>Update according to Commission Implementing Decision (EU) 2022/180 amending Decision 2006/771/EC as regards the update of harmonized technical conditions in the area of radio spectrum use for short-range devices</w:t>
            </w:r>
            <w:r w:rsidR="00872530" w:rsidRPr="00A00E12">
              <w:rPr>
                <w:rFonts w:ascii="Tahoma" w:hAnsi="Tahoma" w:cs="Tahoma"/>
                <w:sz w:val="22"/>
                <w:szCs w:val="22"/>
                <w:lang w:val="en-US"/>
              </w:rPr>
              <w:t xml:space="preserve">: </w:t>
            </w:r>
          </w:p>
          <w:p w14:paraId="2342E9CD" w14:textId="018289C6" w:rsidR="00872530" w:rsidRPr="00A00E12" w:rsidRDefault="00B872A5" w:rsidP="00964512">
            <w:pPr>
              <w:pStyle w:val="ListParagraph"/>
              <w:numPr>
                <w:ilvl w:val="0"/>
                <w:numId w:val="34"/>
              </w:numPr>
              <w:spacing w:before="120" w:line="276" w:lineRule="auto"/>
              <w:jc w:val="both"/>
              <w:rPr>
                <w:rFonts w:ascii="Tahoma" w:hAnsi="Tahoma" w:cs="Tahoma"/>
              </w:rPr>
            </w:pPr>
            <w:r w:rsidRPr="00845BBF">
              <w:rPr>
                <w:rFonts w:ascii="Tahoma" w:hAnsi="Tahoma" w:cs="Tahoma"/>
              </w:rPr>
              <w:t>Update of reference documents (line 13) and definitions point 2</w:t>
            </w:r>
            <w:r w:rsidR="00DF3DC8" w:rsidRPr="00A00E12">
              <w:rPr>
                <w:rFonts w:ascii="Tahoma" w:hAnsi="Tahoma" w:cs="Tahoma"/>
              </w:rPr>
              <w:t>.</w:t>
            </w:r>
          </w:p>
        </w:tc>
      </w:tr>
      <w:tr w:rsidR="00DA1238" w:rsidRPr="00A00E12" w14:paraId="5675B4D1" w14:textId="77777777" w:rsidTr="00621606">
        <w:trPr>
          <w:cantSplit/>
          <w:trHeight w:val="1966"/>
        </w:trPr>
        <w:tc>
          <w:tcPr>
            <w:tcW w:w="1073" w:type="pct"/>
            <w:vAlign w:val="center"/>
          </w:tcPr>
          <w:p w14:paraId="2532CF0D" w14:textId="0853B1B4" w:rsidR="00DA1238" w:rsidRPr="00A00E12" w:rsidRDefault="00DA1238" w:rsidP="00DA1238">
            <w:pPr>
              <w:spacing w:before="120" w:after="120"/>
              <w:jc w:val="center"/>
              <w:rPr>
                <w:rFonts w:ascii="Tahoma" w:hAnsi="Tahoma" w:cs="Tahoma"/>
                <w:bCs/>
                <w:sz w:val="22"/>
                <w:szCs w:val="22"/>
                <w:lang w:val="en-US"/>
              </w:rPr>
            </w:pPr>
            <w:r w:rsidRPr="00A00E12">
              <w:rPr>
                <w:rFonts w:ascii="Tahoma" w:hAnsi="Tahoma" w:cs="Tahoma"/>
                <w:bCs/>
                <w:sz w:val="22"/>
                <w:szCs w:val="22"/>
                <w:lang w:val="en-US"/>
              </w:rPr>
              <w:lastRenderedPageBreak/>
              <w:t>Edi</w:t>
            </w:r>
            <w:r w:rsidR="00A556C6">
              <w:rPr>
                <w:rFonts w:ascii="Tahoma" w:hAnsi="Tahoma" w:cs="Tahoma"/>
                <w:bCs/>
                <w:sz w:val="22"/>
                <w:szCs w:val="22"/>
                <w:lang w:val="en-US"/>
              </w:rPr>
              <w:t>tion</w:t>
            </w:r>
            <w:r w:rsidRPr="00A00E12">
              <w:rPr>
                <w:rFonts w:ascii="Tahoma" w:hAnsi="Tahoma" w:cs="Tahoma"/>
                <w:bCs/>
                <w:sz w:val="22"/>
                <w:szCs w:val="22"/>
                <w:lang w:val="en-US"/>
              </w:rPr>
              <w:t xml:space="preserve"> 5/2025</w:t>
            </w:r>
          </w:p>
          <w:p w14:paraId="08935931" w14:textId="16B579D5" w:rsidR="00DA1238" w:rsidRPr="00A00E12" w:rsidRDefault="00DA1238" w:rsidP="00DA1238">
            <w:pPr>
              <w:spacing w:before="120" w:after="120"/>
              <w:jc w:val="center"/>
              <w:rPr>
                <w:rFonts w:ascii="Tahoma" w:hAnsi="Tahoma" w:cs="Tahoma"/>
                <w:sz w:val="22"/>
                <w:szCs w:val="22"/>
                <w:lang w:val="en-US"/>
              </w:rPr>
            </w:pPr>
            <w:r w:rsidRPr="00A00E12">
              <w:rPr>
                <w:rFonts w:ascii="Tahoma" w:hAnsi="Tahoma" w:cs="Tahoma"/>
                <w:bCs/>
                <w:sz w:val="22"/>
                <w:szCs w:val="22"/>
                <w:lang w:val="en-US"/>
              </w:rPr>
              <w:t>(</w:t>
            </w:r>
            <w:r w:rsidR="001864AF" w:rsidRPr="00A00E12">
              <w:rPr>
                <w:rFonts w:ascii="Tahoma" w:hAnsi="Tahoma" w:cs="Tahoma"/>
                <w:bCs/>
                <w:sz w:val="22"/>
                <w:szCs w:val="22"/>
                <w:lang w:val="en-US"/>
              </w:rPr>
              <w:t>22.12.</w:t>
            </w:r>
            <w:r w:rsidRPr="00A00E12">
              <w:rPr>
                <w:rFonts w:ascii="Tahoma" w:hAnsi="Tahoma" w:cs="Tahoma"/>
                <w:bCs/>
                <w:sz w:val="22"/>
                <w:szCs w:val="22"/>
                <w:lang w:val="en-US"/>
              </w:rPr>
              <w:t>2025)</w:t>
            </w:r>
          </w:p>
        </w:tc>
        <w:tc>
          <w:tcPr>
            <w:tcW w:w="3927" w:type="pct"/>
            <w:vAlign w:val="center"/>
          </w:tcPr>
          <w:p w14:paraId="14619786" w14:textId="6B697833" w:rsidR="00C055AA" w:rsidRPr="00A00E12" w:rsidRDefault="005B5981" w:rsidP="00C055AA">
            <w:pPr>
              <w:spacing w:before="120" w:line="276" w:lineRule="auto"/>
              <w:jc w:val="both"/>
              <w:rPr>
                <w:rFonts w:ascii="Tahoma" w:hAnsi="Tahoma" w:cs="Tahoma"/>
                <w:sz w:val="22"/>
                <w:szCs w:val="22"/>
                <w:lang w:val="en-US"/>
              </w:rPr>
            </w:pPr>
            <w:r w:rsidRPr="005B5981">
              <w:rPr>
                <w:rFonts w:ascii="Tahoma" w:hAnsi="Tahoma" w:cs="Tahoma"/>
                <w:sz w:val="22"/>
                <w:szCs w:val="22"/>
                <w:lang w:val="en-US"/>
              </w:rPr>
              <w:t>Update according to Commission Implementing Decision (EU) 2025/105 amending Decision 2006/771/EC updating harmoni</w:t>
            </w:r>
            <w:r w:rsidR="002D313B">
              <w:rPr>
                <w:rFonts w:ascii="Tahoma" w:hAnsi="Tahoma" w:cs="Tahoma"/>
                <w:sz w:val="22"/>
                <w:szCs w:val="22"/>
                <w:lang w:val="en-US"/>
              </w:rPr>
              <w:t>s</w:t>
            </w:r>
            <w:r w:rsidRPr="005B5981">
              <w:rPr>
                <w:rFonts w:ascii="Tahoma" w:hAnsi="Tahoma" w:cs="Tahoma"/>
                <w:sz w:val="22"/>
                <w:szCs w:val="22"/>
                <w:lang w:val="en-US"/>
              </w:rPr>
              <w:t>ed technical conditions in the area of radio spectrum use for short-range devices and repealing Implementing Decision 2014/641/EU on harmoni</w:t>
            </w:r>
            <w:r w:rsidR="002D313B">
              <w:rPr>
                <w:rFonts w:ascii="Tahoma" w:hAnsi="Tahoma" w:cs="Tahoma"/>
                <w:sz w:val="22"/>
                <w:szCs w:val="22"/>
                <w:lang w:val="en-US"/>
              </w:rPr>
              <w:t>s</w:t>
            </w:r>
            <w:r w:rsidRPr="005B5981">
              <w:rPr>
                <w:rFonts w:ascii="Tahoma" w:hAnsi="Tahoma" w:cs="Tahoma"/>
                <w:sz w:val="22"/>
                <w:szCs w:val="22"/>
                <w:lang w:val="en-US"/>
              </w:rPr>
              <w:t>ed technical conditions of radio spectrum use by wireless audio programme making and special events equipment in the Union</w:t>
            </w:r>
            <w:r w:rsidR="00C055AA" w:rsidRPr="00A00E12">
              <w:rPr>
                <w:rFonts w:ascii="Tahoma" w:hAnsi="Tahoma" w:cs="Tahoma"/>
                <w:sz w:val="22"/>
                <w:szCs w:val="22"/>
                <w:lang w:val="en-US"/>
              </w:rPr>
              <w:t>:</w:t>
            </w:r>
          </w:p>
          <w:p w14:paraId="7EFEB848" w14:textId="02C5D2C0" w:rsidR="00C055AA" w:rsidRPr="00A00E12" w:rsidRDefault="00E7276B" w:rsidP="00C055AA">
            <w:pPr>
              <w:numPr>
                <w:ilvl w:val="0"/>
                <w:numId w:val="35"/>
              </w:numPr>
              <w:spacing w:before="120" w:line="276" w:lineRule="auto"/>
              <w:jc w:val="both"/>
              <w:rPr>
                <w:rFonts w:ascii="Tahoma" w:hAnsi="Tahoma" w:cs="Tahoma"/>
                <w:sz w:val="22"/>
                <w:szCs w:val="22"/>
                <w:lang w:val="en-US"/>
              </w:rPr>
            </w:pPr>
            <w:r w:rsidRPr="00E7276B">
              <w:rPr>
                <w:rFonts w:ascii="Tahoma" w:hAnsi="Tahoma" w:cs="Tahoma"/>
                <w:iCs/>
                <w:sz w:val="22"/>
                <w:szCs w:val="22"/>
              </w:rPr>
              <w:t>For the radio frequency bands 87.5 – 108 MHz, 863 – 865 MHz and 1795 – 1800 MHz, the applications referred to as radio-based audio/multimedia applications are removed, and these frequency bands are amended as follows</w:t>
            </w:r>
            <w:r w:rsidR="00C055AA" w:rsidRPr="00A00E12">
              <w:rPr>
                <w:rFonts w:ascii="Tahoma" w:hAnsi="Tahoma" w:cs="Tahoma"/>
                <w:bCs/>
                <w:sz w:val="22"/>
                <w:szCs w:val="22"/>
                <w:lang w:val="en-US"/>
              </w:rPr>
              <w:t>:</w:t>
            </w:r>
          </w:p>
          <w:p w14:paraId="069FD473" w14:textId="2F800CCA" w:rsidR="00C055AA" w:rsidRPr="00A00E12" w:rsidRDefault="00787F78" w:rsidP="00A3318F">
            <w:pPr>
              <w:numPr>
                <w:ilvl w:val="0"/>
                <w:numId w:val="36"/>
              </w:numPr>
              <w:spacing w:before="120" w:line="276" w:lineRule="auto"/>
              <w:ind w:left="1551"/>
              <w:jc w:val="both"/>
              <w:rPr>
                <w:rFonts w:ascii="Tahoma" w:hAnsi="Tahoma" w:cs="Tahoma"/>
                <w:bCs/>
                <w:i/>
                <w:sz w:val="22"/>
                <w:szCs w:val="22"/>
                <w:lang w:val="en-US"/>
              </w:rPr>
            </w:pPr>
            <w:r w:rsidRPr="00787F78">
              <w:rPr>
                <w:rFonts w:ascii="Tahoma" w:hAnsi="Tahoma" w:cs="Tahoma"/>
                <w:bCs/>
                <w:iCs/>
                <w:sz w:val="22"/>
                <w:szCs w:val="22"/>
              </w:rPr>
              <w:t>The radio frequency band 87.5 – 108 MHz is introduced into the radio interface RO-IR SRD-01 concerning non-specific short-range radio devices and is restricted solely to audio transmitters using analogue frequency modulation (FM). Consequently, it will no longer be included in this technical regulation</w:t>
            </w:r>
            <w:r w:rsidR="00C055AA" w:rsidRPr="00A00E12">
              <w:rPr>
                <w:rFonts w:ascii="Tahoma" w:hAnsi="Tahoma" w:cs="Tahoma"/>
                <w:bCs/>
                <w:iCs/>
                <w:sz w:val="22"/>
                <w:szCs w:val="22"/>
                <w:lang w:val="en-US"/>
              </w:rPr>
              <w:t>;</w:t>
            </w:r>
          </w:p>
          <w:p w14:paraId="3CA60490" w14:textId="55764D0F" w:rsidR="00C055AA" w:rsidRPr="00A00E12" w:rsidRDefault="00E804AA" w:rsidP="00A3318F">
            <w:pPr>
              <w:numPr>
                <w:ilvl w:val="0"/>
                <w:numId w:val="36"/>
              </w:numPr>
              <w:spacing w:before="120" w:line="276" w:lineRule="auto"/>
              <w:ind w:left="1551"/>
              <w:jc w:val="both"/>
              <w:rPr>
                <w:rFonts w:ascii="Tahoma" w:hAnsi="Tahoma" w:cs="Tahoma"/>
                <w:bCs/>
                <w:i/>
                <w:sz w:val="22"/>
                <w:szCs w:val="22"/>
                <w:lang w:val="en-US"/>
              </w:rPr>
            </w:pPr>
            <w:r w:rsidRPr="00E804AA">
              <w:rPr>
                <w:rFonts w:ascii="Tahoma" w:hAnsi="Tahoma" w:cs="Tahoma"/>
                <w:bCs/>
                <w:iCs/>
                <w:sz w:val="22"/>
                <w:szCs w:val="22"/>
              </w:rPr>
              <w:t>The radio frequency band 863 – 865 MHz already exists in the radio interface RO-IR MICRO concerning radio microphones,</w:t>
            </w:r>
            <w:r w:rsidR="009F1470">
              <w:rPr>
                <w:rFonts w:ascii="Tahoma" w:hAnsi="Tahoma" w:cs="Tahoma"/>
                <w:bCs/>
                <w:iCs/>
                <w:sz w:val="22"/>
                <w:szCs w:val="22"/>
              </w:rPr>
              <w:t xml:space="preserve"> thus</w:t>
            </w:r>
            <w:r w:rsidRPr="00E804AA">
              <w:rPr>
                <w:rFonts w:ascii="Tahoma" w:hAnsi="Tahoma" w:cs="Tahoma"/>
                <w:bCs/>
                <w:iCs/>
                <w:sz w:val="22"/>
                <w:szCs w:val="22"/>
              </w:rPr>
              <w:t xml:space="preserve"> becoming harmonised. Consequently, it will no longer be included in this technical regulation</w:t>
            </w:r>
            <w:r w:rsidR="00C055AA" w:rsidRPr="00A00E12">
              <w:rPr>
                <w:rFonts w:ascii="Tahoma" w:hAnsi="Tahoma" w:cs="Tahoma"/>
                <w:bCs/>
                <w:iCs/>
                <w:sz w:val="22"/>
                <w:szCs w:val="22"/>
                <w:lang w:val="en-US"/>
              </w:rPr>
              <w:t>;</w:t>
            </w:r>
            <w:r w:rsidR="001178B3" w:rsidRPr="00A00E12">
              <w:rPr>
                <w:rFonts w:ascii="Tahoma" w:hAnsi="Tahoma" w:cs="Tahoma"/>
                <w:bCs/>
                <w:iCs/>
                <w:sz w:val="22"/>
                <w:szCs w:val="22"/>
                <w:lang w:val="en-US"/>
              </w:rPr>
              <w:t xml:space="preserve"> </w:t>
            </w:r>
          </w:p>
          <w:p w14:paraId="4809D869" w14:textId="0A81113F" w:rsidR="00C055AA" w:rsidRPr="00A00E12" w:rsidRDefault="0037211E" w:rsidP="00A3318F">
            <w:pPr>
              <w:numPr>
                <w:ilvl w:val="0"/>
                <w:numId w:val="36"/>
              </w:numPr>
              <w:spacing w:before="120" w:line="276" w:lineRule="auto"/>
              <w:ind w:left="1551"/>
              <w:jc w:val="both"/>
              <w:rPr>
                <w:rFonts w:ascii="Tahoma" w:hAnsi="Tahoma" w:cs="Tahoma"/>
                <w:bCs/>
                <w:i/>
                <w:sz w:val="22"/>
                <w:szCs w:val="22"/>
                <w:lang w:val="en-US"/>
              </w:rPr>
            </w:pPr>
            <w:r w:rsidRPr="0037211E">
              <w:rPr>
                <w:rFonts w:ascii="Tahoma" w:hAnsi="Tahoma" w:cs="Tahoma"/>
                <w:bCs/>
                <w:iCs/>
                <w:sz w:val="22"/>
                <w:szCs w:val="22"/>
              </w:rPr>
              <w:t>The non-harmonised radio frequency band 1795 – 1800 MHz, which is removed from ERC/REC 70-03 (October 2025 edition), is also removed from this technical regulation</w:t>
            </w:r>
            <w:r w:rsidR="00C055AA" w:rsidRPr="00A00E12">
              <w:rPr>
                <w:rFonts w:ascii="Tahoma" w:hAnsi="Tahoma" w:cs="Tahoma"/>
                <w:sz w:val="22"/>
                <w:szCs w:val="22"/>
                <w:lang w:val="en-US"/>
              </w:rPr>
              <w:t xml:space="preserve">. </w:t>
            </w:r>
            <w:r w:rsidR="001178B3" w:rsidRPr="00A00E12">
              <w:rPr>
                <w:rFonts w:ascii="Tahoma" w:hAnsi="Tahoma" w:cs="Tahoma"/>
                <w:sz w:val="22"/>
                <w:szCs w:val="22"/>
                <w:lang w:val="en-US"/>
              </w:rPr>
              <w:t xml:space="preserve"> </w:t>
            </w:r>
          </w:p>
          <w:p w14:paraId="17D160A7" w14:textId="1DA966AD" w:rsidR="00DA1238" w:rsidRPr="00A00E12" w:rsidRDefault="00F853B9" w:rsidP="00872530">
            <w:pPr>
              <w:spacing w:before="120" w:line="276" w:lineRule="auto"/>
              <w:jc w:val="both"/>
              <w:rPr>
                <w:rFonts w:ascii="Tahoma" w:hAnsi="Tahoma" w:cs="Tahoma"/>
                <w:sz w:val="22"/>
                <w:szCs w:val="22"/>
                <w:lang w:val="en-US"/>
              </w:rPr>
            </w:pPr>
            <w:r w:rsidRPr="00F853B9">
              <w:rPr>
                <w:rFonts w:ascii="Tahoma" w:hAnsi="Tahoma" w:cs="Tahoma"/>
                <w:bCs/>
                <w:iCs/>
                <w:sz w:val="22"/>
                <w:szCs w:val="22"/>
              </w:rPr>
              <w:t>In view of the above</w:t>
            </w:r>
            <w:r>
              <w:rPr>
                <w:rFonts w:ascii="Tahoma" w:hAnsi="Tahoma" w:cs="Tahoma"/>
                <w:bCs/>
                <w:iCs/>
                <w:sz w:val="22"/>
                <w:szCs w:val="22"/>
              </w:rPr>
              <w:t xml:space="preserve"> mentioned</w:t>
            </w:r>
            <w:r w:rsidRPr="00F853B9">
              <w:rPr>
                <w:rFonts w:ascii="Tahoma" w:hAnsi="Tahoma" w:cs="Tahoma"/>
                <w:bCs/>
                <w:iCs/>
                <w:sz w:val="22"/>
                <w:szCs w:val="22"/>
              </w:rPr>
              <w:t>, radio interface RO-IR SRD-11 shall cease to apply as of 22 December 2025. After 22 December 2025, for the radio frequency band 87.5 – 108 MHz, only audio transmitters using analogue frequency modulation (FM) shall be permitted to be placed</w:t>
            </w:r>
            <w:r>
              <w:rPr>
                <w:rFonts w:ascii="Tahoma" w:hAnsi="Tahoma" w:cs="Tahoma"/>
                <w:bCs/>
                <w:iCs/>
                <w:sz w:val="22"/>
                <w:szCs w:val="22"/>
              </w:rPr>
              <w:t>/made available</w:t>
            </w:r>
            <w:r w:rsidRPr="00F853B9">
              <w:rPr>
                <w:rFonts w:ascii="Tahoma" w:hAnsi="Tahoma" w:cs="Tahoma"/>
                <w:bCs/>
                <w:iCs/>
                <w:sz w:val="22"/>
                <w:szCs w:val="22"/>
              </w:rPr>
              <w:t xml:space="preserve"> on the market without licensing</w:t>
            </w:r>
            <w:r>
              <w:rPr>
                <w:rFonts w:ascii="Tahoma" w:hAnsi="Tahoma" w:cs="Tahoma"/>
                <w:bCs/>
                <w:iCs/>
                <w:sz w:val="22"/>
                <w:szCs w:val="22"/>
              </w:rPr>
              <w:t>.</w:t>
            </w:r>
          </w:p>
        </w:tc>
      </w:tr>
    </w:tbl>
    <w:p w14:paraId="46B87498" w14:textId="77777777" w:rsidR="00ED31AE" w:rsidRPr="00A00E12" w:rsidRDefault="00ED31AE" w:rsidP="00774686">
      <w:pPr>
        <w:rPr>
          <w:rFonts w:ascii="Arial" w:hAnsi="Arial" w:cs="Arial"/>
          <w:lang w:val="en-US"/>
        </w:rPr>
      </w:pPr>
    </w:p>
    <w:p w14:paraId="31F7D0E7" w14:textId="77777777" w:rsidR="0076025C" w:rsidRPr="00A00E12" w:rsidRDefault="0076025C" w:rsidP="00774686">
      <w:pPr>
        <w:rPr>
          <w:rFonts w:ascii="Arial" w:hAnsi="Arial" w:cs="Arial"/>
          <w:lang w:val="en-US"/>
        </w:rPr>
      </w:pPr>
    </w:p>
    <w:p w14:paraId="6642FA02" w14:textId="77777777" w:rsidR="00F3301E" w:rsidRPr="00A00E12" w:rsidRDefault="00F3301E" w:rsidP="00774686">
      <w:pPr>
        <w:rPr>
          <w:rFonts w:ascii="Arial" w:hAnsi="Arial" w:cs="Arial"/>
          <w:lang w:val="en-US"/>
        </w:rPr>
      </w:pPr>
    </w:p>
    <w:p w14:paraId="2B86A15C" w14:textId="77777777" w:rsidR="00F3301E" w:rsidRPr="00A00E12" w:rsidRDefault="00F3301E" w:rsidP="00774686">
      <w:pPr>
        <w:rPr>
          <w:rFonts w:ascii="Arial" w:hAnsi="Arial" w:cs="Arial"/>
          <w:lang w:val="en-US"/>
        </w:rPr>
      </w:pPr>
    </w:p>
    <w:p w14:paraId="14C1A778" w14:textId="77777777" w:rsidR="00F3301E" w:rsidRPr="00A00E12" w:rsidRDefault="00F3301E" w:rsidP="00774686">
      <w:pPr>
        <w:rPr>
          <w:rFonts w:ascii="Arial" w:hAnsi="Arial" w:cs="Arial"/>
          <w:lang w:val="en-US"/>
        </w:rPr>
      </w:pPr>
    </w:p>
    <w:p w14:paraId="60FEF0C7" w14:textId="77777777" w:rsidR="00F3301E" w:rsidRPr="00A00E12" w:rsidRDefault="00F3301E" w:rsidP="00774686">
      <w:pPr>
        <w:rPr>
          <w:rFonts w:ascii="Arial" w:hAnsi="Arial" w:cs="Arial"/>
          <w:lang w:val="en-US"/>
        </w:rPr>
      </w:pPr>
    </w:p>
    <w:p w14:paraId="41323678" w14:textId="77777777" w:rsidR="00F3301E" w:rsidRPr="00A00E12" w:rsidRDefault="00F3301E" w:rsidP="00774686">
      <w:pPr>
        <w:rPr>
          <w:rFonts w:ascii="Arial" w:hAnsi="Arial" w:cs="Arial"/>
          <w:lang w:val="en-US"/>
        </w:rPr>
      </w:pPr>
    </w:p>
    <w:p w14:paraId="13F189BE" w14:textId="77777777" w:rsidR="00F3301E" w:rsidRPr="00A00E12" w:rsidRDefault="00F3301E" w:rsidP="00774686">
      <w:pPr>
        <w:rPr>
          <w:rFonts w:ascii="Arial" w:hAnsi="Arial" w:cs="Arial"/>
          <w:lang w:val="en-US"/>
        </w:rPr>
      </w:pPr>
    </w:p>
    <w:sectPr w:rsidR="00F3301E" w:rsidRPr="00A00E12" w:rsidSect="00F3301E">
      <w:headerReference w:type="even" r:id="rId11"/>
      <w:footerReference w:type="even" r:id="rId12"/>
      <w:footerReference w:type="default" r:id="rId13"/>
      <w:footerReference w:type="first" r:id="rId14"/>
      <w:pgSz w:w="11909" w:h="16834" w:code="9"/>
      <w:pgMar w:top="1134" w:right="1134" w:bottom="1134" w:left="1134" w:header="187"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64AA" w14:textId="77777777" w:rsidR="00B339FF" w:rsidRDefault="00B339FF">
      <w:r>
        <w:separator/>
      </w:r>
    </w:p>
  </w:endnote>
  <w:endnote w:type="continuationSeparator" w:id="0">
    <w:p w14:paraId="36E4567C" w14:textId="77777777" w:rsidR="00B339FF" w:rsidRDefault="00B3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F382" w14:textId="77777777" w:rsidR="008831D6" w:rsidRDefault="008831D6"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CFB52A" w14:textId="77777777" w:rsidR="008831D6" w:rsidRDefault="008831D6"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3498" w14:textId="77777777" w:rsidR="00333DB7" w:rsidRPr="00964512" w:rsidRDefault="00333DB7">
    <w:pPr>
      <w:pStyle w:val="Footer"/>
      <w:jc w:val="center"/>
      <w:rPr>
        <w:rFonts w:ascii="Tahoma" w:hAnsi="Tahoma" w:cs="Tahoma"/>
      </w:rPr>
    </w:pPr>
    <w:r w:rsidRPr="00964512">
      <w:rPr>
        <w:rFonts w:ascii="Tahoma" w:hAnsi="Tahoma" w:cs="Tahoma"/>
      </w:rPr>
      <w:fldChar w:fldCharType="begin"/>
    </w:r>
    <w:r w:rsidRPr="00964512">
      <w:rPr>
        <w:rFonts w:ascii="Tahoma" w:hAnsi="Tahoma" w:cs="Tahoma"/>
      </w:rPr>
      <w:instrText xml:space="preserve"> PAGE   \* MERGEFORMAT </w:instrText>
    </w:r>
    <w:r w:rsidRPr="00964512">
      <w:rPr>
        <w:rFonts w:ascii="Tahoma" w:hAnsi="Tahoma" w:cs="Tahoma"/>
      </w:rPr>
      <w:fldChar w:fldCharType="separate"/>
    </w:r>
    <w:r w:rsidR="001327F4" w:rsidRPr="00964512">
      <w:rPr>
        <w:rFonts w:ascii="Tahoma" w:hAnsi="Tahoma" w:cs="Tahoma"/>
        <w:noProof/>
      </w:rPr>
      <w:t>6</w:t>
    </w:r>
    <w:r w:rsidRPr="00964512">
      <w:rPr>
        <w:rFonts w:ascii="Tahoma" w:hAnsi="Tahoma" w:cs="Tahoma"/>
        <w:noProof/>
      </w:rPr>
      <w:fldChar w:fldCharType="end"/>
    </w:r>
  </w:p>
  <w:p w14:paraId="350883DC" w14:textId="77777777" w:rsidR="008831D6" w:rsidRDefault="008831D6"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A66"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31E389A6" w14:textId="77777777" w:rsidR="008831D6" w:rsidRPr="000244C7" w:rsidRDefault="008831D6" w:rsidP="00FE1241">
    <w:pPr>
      <w:pStyle w:val="Footer"/>
      <w:jc w:val="center"/>
      <w:rPr>
        <w:lang w:val="it-IT"/>
      </w:rPr>
    </w:pPr>
  </w:p>
  <w:p w14:paraId="0124830B" w14:textId="77777777" w:rsidR="008831D6" w:rsidRPr="000244C7" w:rsidRDefault="008831D6" w:rsidP="00FE1241">
    <w:pPr>
      <w:pStyle w:val="Footer"/>
      <w:jc w:val="center"/>
      <w:rPr>
        <w:lang w:val="it-IT"/>
      </w:rPr>
    </w:pPr>
  </w:p>
  <w:p w14:paraId="70C3F963"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D6E2" w14:textId="77777777" w:rsidR="00B339FF" w:rsidRDefault="00B339FF">
      <w:r>
        <w:separator/>
      </w:r>
    </w:p>
  </w:footnote>
  <w:footnote w:type="continuationSeparator" w:id="0">
    <w:p w14:paraId="56F9E11B" w14:textId="77777777" w:rsidR="00B339FF" w:rsidRDefault="00B3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9EE1" w14:textId="77777777" w:rsidR="008831D6" w:rsidRDefault="00000000">
    <w:pPr>
      <w:pStyle w:val="Header"/>
    </w:pPr>
    <w:r>
      <w:rPr>
        <w:noProof/>
      </w:rPr>
      <w:pict w14:anchorId="07D14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C6B15"/>
    <w:multiLevelType w:val="hybridMultilevel"/>
    <w:tmpl w:val="8BD25A58"/>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24E74"/>
    <w:multiLevelType w:val="hybridMultilevel"/>
    <w:tmpl w:val="0D0498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1"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26697E"/>
    <w:multiLevelType w:val="hybridMultilevel"/>
    <w:tmpl w:val="83B2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6CE277B2"/>
    <w:multiLevelType w:val="hybridMultilevel"/>
    <w:tmpl w:val="794CB3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5"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679039677">
    <w:abstractNumId w:val="20"/>
  </w:num>
  <w:num w:numId="2" w16cid:durableId="2055764587">
    <w:abstractNumId w:val="1"/>
  </w:num>
  <w:num w:numId="3" w16cid:durableId="1946770990">
    <w:abstractNumId w:val="9"/>
  </w:num>
  <w:num w:numId="4" w16cid:durableId="1419326496">
    <w:abstractNumId w:val="35"/>
  </w:num>
  <w:num w:numId="5" w16cid:durableId="1898472136">
    <w:abstractNumId w:val="16"/>
  </w:num>
  <w:num w:numId="6" w16cid:durableId="1720737087">
    <w:abstractNumId w:val="11"/>
  </w:num>
  <w:num w:numId="7" w16cid:durableId="2068455509">
    <w:abstractNumId w:val="0"/>
  </w:num>
  <w:num w:numId="8" w16cid:durableId="1603147871">
    <w:abstractNumId w:val="10"/>
  </w:num>
  <w:num w:numId="9" w16cid:durableId="953169355">
    <w:abstractNumId w:val="32"/>
  </w:num>
  <w:num w:numId="10" w16cid:durableId="1708874896">
    <w:abstractNumId w:val="33"/>
  </w:num>
  <w:num w:numId="11" w16cid:durableId="505049780">
    <w:abstractNumId w:val="6"/>
  </w:num>
  <w:num w:numId="12" w16cid:durableId="1459059968">
    <w:abstractNumId w:val="23"/>
  </w:num>
  <w:num w:numId="13" w16cid:durableId="531916728">
    <w:abstractNumId w:val="30"/>
  </w:num>
  <w:num w:numId="14" w16cid:durableId="2007440137">
    <w:abstractNumId w:val="34"/>
  </w:num>
  <w:num w:numId="15" w16cid:durableId="110442368">
    <w:abstractNumId w:val="17"/>
  </w:num>
  <w:num w:numId="16" w16cid:durableId="990210209">
    <w:abstractNumId w:val="24"/>
  </w:num>
  <w:num w:numId="17" w16cid:durableId="380061564">
    <w:abstractNumId w:val="27"/>
  </w:num>
  <w:num w:numId="18" w16cid:durableId="237520925">
    <w:abstractNumId w:val="7"/>
  </w:num>
  <w:num w:numId="19" w16cid:durableId="22943934">
    <w:abstractNumId w:val="14"/>
  </w:num>
  <w:num w:numId="20" w16cid:durableId="210577985">
    <w:abstractNumId w:val="5"/>
  </w:num>
  <w:num w:numId="21" w16cid:durableId="714768084">
    <w:abstractNumId w:val="28"/>
  </w:num>
  <w:num w:numId="22" w16cid:durableId="1304581756">
    <w:abstractNumId w:val="12"/>
  </w:num>
  <w:num w:numId="23" w16cid:durableId="417335613">
    <w:abstractNumId w:val="25"/>
  </w:num>
  <w:num w:numId="24" w16cid:durableId="2033456504">
    <w:abstractNumId w:val="19"/>
  </w:num>
  <w:num w:numId="25" w16cid:durableId="1033455749">
    <w:abstractNumId w:val="4"/>
  </w:num>
  <w:num w:numId="26" w16cid:durableId="515770377">
    <w:abstractNumId w:val="18"/>
  </w:num>
  <w:num w:numId="27" w16cid:durableId="823085951">
    <w:abstractNumId w:val="13"/>
  </w:num>
  <w:num w:numId="28" w16cid:durableId="491483415">
    <w:abstractNumId w:val="22"/>
  </w:num>
  <w:num w:numId="29" w16cid:durableId="1426917850">
    <w:abstractNumId w:val="26"/>
  </w:num>
  <w:num w:numId="30" w16cid:durableId="240649025">
    <w:abstractNumId w:val="3"/>
  </w:num>
  <w:num w:numId="31" w16cid:durableId="196742066">
    <w:abstractNumId w:val="21"/>
  </w:num>
  <w:num w:numId="32" w16cid:durableId="1765034010">
    <w:abstractNumId w:val="29"/>
  </w:num>
  <w:num w:numId="33" w16cid:durableId="766855041">
    <w:abstractNumId w:val="15"/>
  </w:num>
  <w:num w:numId="34" w16cid:durableId="630984129">
    <w:abstractNumId w:val="31"/>
  </w:num>
  <w:num w:numId="35" w16cid:durableId="638001212">
    <w:abstractNumId w:val="8"/>
  </w:num>
  <w:num w:numId="36" w16cid:durableId="1222864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A9E"/>
    <w:rsid w:val="00004DB6"/>
    <w:rsid w:val="000058C6"/>
    <w:rsid w:val="00006BAE"/>
    <w:rsid w:val="000072F9"/>
    <w:rsid w:val="00007841"/>
    <w:rsid w:val="000108F1"/>
    <w:rsid w:val="000120C5"/>
    <w:rsid w:val="00012244"/>
    <w:rsid w:val="000129E2"/>
    <w:rsid w:val="00014ECC"/>
    <w:rsid w:val="00015383"/>
    <w:rsid w:val="00015809"/>
    <w:rsid w:val="00021F8E"/>
    <w:rsid w:val="000221F2"/>
    <w:rsid w:val="0002229F"/>
    <w:rsid w:val="00022B4F"/>
    <w:rsid w:val="00023779"/>
    <w:rsid w:val="000244C7"/>
    <w:rsid w:val="0003458D"/>
    <w:rsid w:val="00044FD5"/>
    <w:rsid w:val="0004559F"/>
    <w:rsid w:val="00046D3B"/>
    <w:rsid w:val="00047157"/>
    <w:rsid w:val="00047826"/>
    <w:rsid w:val="00051301"/>
    <w:rsid w:val="00052A60"/>
    <w:rsid w:val="00052C36"/>
    <w:rsid w:val="000542A9"/>
    <w:rsid w:val="0005437E"/>
    <w:rsid w:val="00056BB6"/>
    <w:rsid w:val="00056C92"/>
    <w:rsid w:val="00060475"/>
    <w:rsid w:val="00062188"/>
    <w:rsid w:val="0006460A"/>
    <w:rsid w:val="00065D05"/>
    <w:rsid w:val="00065DDF"/>
    <w:rsid w:val="00070D15"/>
    <w:rsid w:val="000718E9"/>
    <w:rsid w:val="0007267E"/>
    <w:rsid w:val="00072744"/>
    <w:rsid w:val="000736B2"/>
    <w:rsid w:val="00075202"/>
    <w:rsid w:val="000759AF"/>
    <w:rsid w:val="00076131"/>
    <w:rsid w:val="00077867"/>
    <w:rsid w:val="00077C90"/>
    <w:rsid w:val="00081D69"/>
    <w:rsid w:val="0008550C"/>
    <w:rsid w:val="00085FCD"/>
    <w:rsid w:val="000874C1"/>
    <w:rsid w:val="00087DFD"/>
    <w:rsid w:val="000918B4"/>
    <w:rsid w:val="00092D1F"/>
    <w:rsid w:val="00093F66"/>
    <w:rsid w:val="0009531F"/>
    <w:rsid w:val="000961DD"/>
    <w:rsid w:val="000972DF"/>
    <w:rsid w:val="000A08F5"/>
    <w:rsid w:val="000A0DD6"/>
    <w:rsid w:val="000A39CD"/>
    <w:rsid w:val="000A7425"/>
    <w:rsid w:val="000A7A50"/>
    <w:rsid w:val="000B0DB6"/>
    <w:rsid w:val="000B30BC"/>
    <w:rsid w:val="000B3395"/>
    <w:rsid w:val="000B4172"/>
    <w:rsid w:val="000B41B7"/>
    <w:rsid w:val="000B48FA"/>
    <w:rsid w:val="000B4E98"/>
    <w:rsid w:val="000C0137"/>
    <w:rsid w:val="000C4E9F"/>
    <w:rsid w:val="000C6A4D"/>
    <w:rsid w:val="000C6B0F"/>
    <w:rsid w:val="000D011C"/>
    <w:rsid w:val="000D6AB0"/>
    <w:rsid w:val="000D79ED"/>
    <w:rsid w:val="000E016B"/>
    <w:rsid w:val="000E0683"/>
    <w:rsid w:val="000E1158"/>
    <w:rsid w:val="000E18F9"/>
    <w:rsid w:val="000E21E9"/>
    <w:rsid w:val="000E4A99"/>
    <w:rsid w:val="000E59AF"/>
    <w:rsid w:val="000E5E3E"/>
    <w:rsid w:val="000E6C5A"/>
    <w:rsid w:val="000E7523"/>
    <w:rsid w:val="000F010E"/>
    <w:rsid w:val="000F0EBB"/>
    <w:rsid w:val="000F239D"/>
    <w:rsid w:val="000F29B0"/>
    <w:rsid w:val="000F455E"/>
    <w:rsid w:val="000F4B42"/>
    <w:rsid w:val="000F563E"/>
    <w:rsid w:val="00100221"/>
    <w:rsid w:val="001013A7"/>
    <w:rsid w:val="00101976"/>
    <w:rsid w:val="0010339E"/>
    <w:rsid w:val="00103416"/>
    <w:rsid w:val="0010572F"/>
    <w:rsid w:val="00105E03"/>
    <w:rsid w:val="0010604B"/>
    <w:rsid w:val="0010661B"/>
    <w:rsid w:val="0011238C"/>
    <w:rsid w:val="001129D2"/>
    <w:rsid w:val="00116753"/>
    <w:rsid w:val="001178B3"/>
    <w:rsid w:val="00120E68"/>
    <w:rsid w:val="00121724"/>
    <w:rsid w:val="00124020"/>
    <w:rsid w:val="001252B8"/>
    <w:rsid w:val="00130C62"/>
    <w:rsid w:val="001327F4"/>
    <w:rsid w:val="00132BFF"/>
    <w:rsid w:val="00134A26"/>
    <w:rsid w:val="00135126"/>
    <w:rsid w:val="00136FF2"/>
    <w:rsid w:val="001374D7"/>
    <w:rsid w:val="00141317"/>
    <w:rsid w:val="00141A57"/>
    <w:rsid w:val="00142655"/>
    <w:rsid w:val="00143DF0"/>
    <w:rsid w:val="00144908"/>
    <w:rsid w:val="00147C7B"/>
    <w:rsid w:val="00150F05"/>
    <w:rsid w:val="00150F4F"/>
    <w:rsid w:val="0015162F"/>
    <w:rsid w:val="00155410"/>
    <w:rsid w:val="00156C3E"/>
    <w:rsid w:val="00157958"/>
    <w:rsid w:val="0016017A"/>
    <w:rsid w:val="001615C0"/>
    <w:rsid w:val="00161DB2"/>
    <w:rsid w:val="001624F9"/>
    <w:rsid w:val="00163BB0"/>
    <w:rsid w:val="001640EB"/>
    <w:rsid w:val="001642C5"/>
    <w:rsid w:val="001649EA"/>
    <w:rsid w:val="001659FE"/>
    <w:rsid w:val="00165CA5"/>
    <w:rsid w:val="00166B5E"/>
    <w:rsid w:val="00170DAF"/>
    <w:rsid w:val="00171E16"/>
    <w:rsid w:val="00173146"/>
    <w:rsid w:val="001736B1"/>
    <w:rsid w:val="001742A7"/>
    <w:rsid w:val="00174B6E"/>
    <w:rsid w:val="00175D8A"/>
    <w:rsid w:val="00182B09"/>
    <w:rsid w:val="0018331F"/>
    <w:rsid w:val="0018488C"/>
    <w:rsid w:val="001864AF"/>
    <w:rsid w:val="00186E9B"/>
    <w:rsid w:val="00187AEC"/>
    <w:rsid w:val="00190558"/>
    <w:rsid w:val="001930D2"/>
    <w:rsid w:val="00193F4B"/>
    <w:rsid w:val="001944CF"/>
    <w:rsid w:val="001971AE"/>
    <w:rsid w:val="00197449"/>
    <w:rsid w:val="001A0088"/>
    <w:rsid w:val="001A07D7"/>
    <w:rsid w:val="001A0BDE"/>
    <w:rsid w:val="001A2273"/>
    <w:rsid w:val="001A2828"/>
    <w:rsid w:val="001A5E47"/>
    <w:rsid w:val="001A65A2"/>
    <w:rsid w:val="001B0574"/>
    <w:rsid w:val="001B4222"/>
    <w:rsid w:val="001B4D7A"/>
    <w:rsid w:val="001B52DD"/>
    <w:rsid w:val="001B588C"/>
    <w:rsid w:val="001B689B"/>
    <w:rsid w:val="001B7831"/>
    <w:rsid w:val="001C0394"/>
    <w:rsid w:val="001C08E3"/>
    <w:rsid w:val="001C13C7"/>
    <w:rsid w:val="001C59D8"/>
    <w:rsid w:val="001C7475"/>
    <w:rsid w:val="001D112A"/>
    <w:rsid w:val="001D2545"/>
    <w:rsid w:val="001D3398"/>
    <w:rsid w:val="001D6088"/>
    <w:rsid w:val="001E0EEF"/>
    <w:rsid w:val="001E1138"/>
    <w:rsid w:val="001E2240"/>
    <w:rsid w:val="001E268D"/>
    <w:rsid w:val="001E34DE"/>
    <w:rsid w:val="001E4E84"/>
    <w:rsid w:val="001E6684"/>
    <w:rsid w:val="001E783E"/>
    <w:rsid w:val="001F2237"/>
    <w:rsid w:val="001F3740"/>
    <w:rsid w:val="001F4BDE"/>
    <w:rsid w:val="001F62AF"/>
    <w:rsid w:val="002014B4"/>
    <w:rsid w:val="002024B4"/>
    <w:rsid w:val="00202782"/>
    <w:rsid w:val="0020447D"/>
    <w:rsid w:val="00205375"/>
    <w:rsid w:val="002069E0"/>
    <w:rsid w:val="0021108F"/>
    <w:rsid w:val="00211553"/>
    <w:rsid w:val="0021214C"/>
    <w:rsid w:val="00213A35"/>
    <w:rsid w:val="00214BDA"/>
    <w:rsid w:val="002155D3"/>
    <w:rsid w:val="0021587D"/>
    <w:rsid w:val="00216063"/>
    <w:rsid w:val="00216688"/>
    <w:rsid w:val="00216A26"/>
    <w:rsid w:val="0022327B"/>
    <w:rsid w:val="00223919"/>
    <w:rsid w:val="0022407C"/>
    <w:rsid w:val="002255E5"/>
    <w:rsid w:val="002255FF"/>
    <w:rsid w:val="0022789C"/>
    <w:rsid w:val="00230A0D"/>
    <w:rsid w:val="00234DCC"/>
    <w:rsid w:val="002356B2"/>
    <w:rsid w:val="00235B01"/>
    <w:rsid w:val="00235C3C"/>
    <w:rsid w:val="0023704A"/>
    <w:rsid w:val="00240716"/>
    <w:rsid w:val="002412EC"/>
    <w:rsid w:val="002422A7"/>
    <w:rsid w:val="00243BA5"/>
    <w:rsid w:val="00243E98"/>
    <w:rsid w:val="0024419A"/>
    <w:rsid w:val="002460FA"/>
    <w:rsid w:val="00251AF9"/>
    <w:rsid w:val="00252928"/>
    <w:rsid w:val="00252B1E"/>
    <w:rsid w:val="00254E82"/>
    <w:rsid w:val="002554EF"/>
    <w:rsid w:val="00255810"/>
    <w:rsid w:val="00257009"/>
    <w:rsid w:val="002572E2"/>
    <w:rsid w:val="00257889"/>
    <w:rsid w:val="002605E5"/>
    <w:rsid w:val="00261237"/>
    <w:rsid w:val="0026223D"/>
    <w:rsid w:val="002628E5"/>
    <w:rsid w:val="00263ADC"/>
    <w:rsid w:val="002643CF"/>
    <w:rsid w:val="002673F3"/>
    <w:rsid w:val="002679AC"/>
    <w:rsid w:val="00267D3F"/>
    <w:rsid w:val="00270477"/>
    <w:rsid w:val="002710A0"/>
    <w:rsid w:val="002737FD"/>
    <w:rsid w:val="00273DCE"/>
    <w:rsid w:val="00273E65"/>
    <w:rsid w:val="00281F8C"/>
    <w:rsid w:val="00283880"/>
    <w:rsid w:val="00287D57"/>
    <w:rsid w:val="00290B42"/>
    <w:rsid w:val="00290C27"/>
    <w:rsid w:val="00291197"/>
    <w:rsid w:val="002911CB"/>
    <w:rsid w:val="0029173E"/>
    <w:rsid w:val="00293B1D"/>
    <w:rsid w:val="002945BB"/>
    <w:rsid w:val="0029518E"/>
    <w:rsid w:val="00295E94"/>
    <w:rsid w:val="002A08B8"/>
    <w:rsid w:val="002A1282"/>
    <w:rsid w:val="002A1A2E"/>
    <w:rsid w:val="002A2820"/>
    <w:rsid w:val="002A2A6E"/>
    <w:rsid w:val="002A54CA"/>
    <w:rsid w:val="002A567F"/>
    <w:rsid w:val="002A5AA6"/>
    <w:rsid w:val="002B0AAD"/>
    <w:rsid w:val="002B132C"/>
    <w:rsid w:val="002B1AFA"/>
    <w:rsid w:val="002B4FDA"/>
    <w:rsid w:val="002B5E0E"/>
    <w:rsid w:val="002B6FC9"/>
    <w:rsid w:val="002C0CAF"/>
    <w:rsid w:val="002C1686"/>
    <w:rsid w:val="002D20CF"/>
    <w:rsid w:val="002D22ED"/>
    <w:rsid w:val="002D2DF7"/>
    <w:rsid w:val="002D313B"/>
    <w:rsid w:val="002D434B"/>
    <w:rsid w:val="002D516C"/>
    <w:rsid w:val="002E0D92"/>
    <w:rsid w:val="002E4554"/>
    <w:rsid w:val="002F01F9"/>
    <w:rsid w:val="002F0683"/>
    <w:rsid w:val="002F10AC"/>
    <w:rsid w:val="002F10EE"/>
    <w:rsid w:val="002F1CD2"/>
    <w:rsid w:val="002F2083"/>
    <w:rsid w:val="002F23D6"/>
    <w:rsid w:val="002F3EA0"/>
    <w:rsid w:val="002F3FCC"/>
    <w:rsid w:val="002F44E4"/>
    <w:rsid w:val="002F49C1"/>
    <w:rsid w:val="002F60C1"/>
    <w:rsid w:val="002F7CDE"/>
    <w:rsid w:val="003002EE"/>
    <w:rsid w:val="0030060A"/>
    <w:rsid w:val="00301C06"/>
    <w:rsid w:val="00303106"/>
    <w:rsid w:val="003042DA"/>
    <w:rsid w:val="00304D50"/>
    <w:rsid w:val="00306001"/>
    <w:rsid w:val="00307DDB"/>
    <w:rsid w:val="00307E7B"/>
    <w:rsid w:val="0031221C"/>
    <w:rsid w:val="003131CD"/>
    <w:rsid w:val="00314A6F"/>
    <w:rsid w:val="00317DA4"/>
    <w:rsid w:val="00320070"/>
    <w:rsid w:val="00320DDE"/>
    <w:rsid w:val="00320E32"/>
    <w:rsid w:val="00324084"/>
    <w:rsid w:val="003245DA"/>
    <w:rsid w:val="00324A1C"/>
    <w:rsid w:val="00324F2B"/>
    <w:rsid w:val="00327C6F"/>
    <w:rsid w:val="003314DC"/>
    <w:rsid w:val="003334F8"/>
    <w:rsid w:val="003335F2"/>
    <w:rsid w:val="00333DB7"/>
    <w:rsid w:val="00336C0F"/>
    <w:rsid w:val="00340387"/>
    <w:rsid w:val="003406FD"/>
    <w:rsid w:val="00341E6D"/>
    <w:rsid w:val="0034271D"/>
    <w:rsid w:val="00343369"/>
    <w:rsid w:val="0034369F"/>
    <w:rsid w:val="003437CA"/>
    <w:rsid w:val="00344089"/>
    <w:rsid w:val="0034706C"/>
    <w:rsid w:val="00347242"/>
    <w:rsid w:val="00347F1D"/>
    <w:rsid w:val="00350259"/>
    <w:rsid w:val="00350579"/>
    <w:rsid w:val="0035237C"/>
    <w:rsid w:val="003555DA"/>
    <w:rsid w:val="00356F8C"/>
    <w:rsid w:val="0035779E"/>
    <w:rsid w:val="0035794B"/>
    <w:rsid w:val="00362E68"/>
    <w:rsid w:val="003631FB"/>
    <w:rsid w:val="00364092"/>
    <w:rsid w:val="00365A1F"/>
    <w:rsid w:val="0037211E"/>
    <w:rsid w:val="00373C43"/>
    <w:rsid w:val="00375A4C"/>
    <w:rsid w:val="00377249"/>
    <w:rsid w:val="00380753"/>
    <w:rsid w:val="0038176F"/>
    <w:rsid w:val="00382007"/>
    <w:rsid w:val="003820F3"/>
    <w:rsid w:val="003828B5"/>
    <w:rsid w:val="00383A0B"/>
    <w:rsid w:val="00383A7E"/>
    <w:rsid w:val="00385120"/>
    <w:rsid w:val="00385AC0"/>
    <w:rsid w:val="00387A40"/>
    <w:rsid w:val="00390B7C"/>
    <w:rsid w:val="0039180C"/>
    <w:rsid w:val="003929E4"/>
    <w:rsid w:val="00393D71"/>
    <w:rsid w:val="00394DC6"/>
    <w:rsid w:val="003957DD"/>
    <w:rsid w:val="00396424"/>
    <w:rsid w:val="003A2999"/>
    <w:rsid w:val="003A30FE"/>
    <w:rsid w:val="003A3BE6"/>
    <w:rsid w:val="003A4EAD"/>
    <w:rsid w:val="003A7752"/>
    <w:rsid w:val="003B04AD"/>
    <w:rsid w:val="003B10F7"/>
    <w:rsid w:val="003B2842"/>
    <w:rsid w:val="003B2A73"/>
    <w:rsid w:val="003B2AC2"/>
    <w:rsid w:val="003B34F3"/>
    <w:rsid w:val="003B4A6E"/>
    <w:rsid w:val="003B6209"/>
    <w:rsid w:val="003B6E76"/>
    <w:rsid w:val="003C1117"/>
    <w:rsid w:val="003C208F"/>
    <w:rsid w:val="003C399C"/>
    <w:rsid w:val="003C3EFE"/>
    <w:rsid w:val="003C4BD1"/>
    <w:rsid w:val="003C4D7C"/>
    <w:rsid w:val="003C507E"/>
    <w:rsid w:val="003C637E"/>
    <w:rsid w:val="003D010E"/>
    <w:rsid w:val="003D23C0"/>
    <w:rsid w:val="003D56EB"/>
    <w:rsid w:val="003D5E57"/>
    <w:rsid w:val="003D62E6"/>
    <w:rsid w:val="003D7131"/>
    <w:rsid w:val="003D72D6"/>
    <w:rsid w:val="003D7FDA"/>
    <w:rsid w:val="003E02D6"/>
    <w:rsid w:val="003E083F"/>
    <w:rsid w:val="003E1B4F"/>
    <w:rsid w:val="003E1D98"/>
    <w:rsid w:val="003E2C71"/>
    <w:rsid w:val="003E4BB6"/>
    <w:rsid w:val="003E613D"/>
    <w:rsid w:val="003E72A3"/>
    <w:rsid w:val="003E72BA"/>
    <w:rsid w:val="003E7312"/>
    <w:rsid w:val="003F0403"/>
    <w:rsid w:val="003F0901"/>
    <w:rsid w:val="003F13D5"/>
    <w:rsid w:val="003F1523"/>
    <w:rsid w:val="003F349B"/>
    <w:rsid w:val="003F3B81"/>
    <w:rsid w:val="003F48BC"/>
    <w:rsid w:val="003F5012"/>
    <w:rsid w:val="003F540F"/>
    <w:rsid w:val="003F77D5"/>
    <w:rsid w:val="004020EF"/>
    <w:rsid w:val="004024A1"/>
    <w:rsid w:val="00403D9B"/>
    <w:rsid w:val="0040530B"/>
    <w:rsid w:val="00406052"/>
    <w:rsid w:val="004065F5"/>
    <w:rsid w:val="00407187"/>
    <w:rsid w:val="004079F9"/>
    <w:rsid w:val="00407AF4"/>
    <w:rsid w:val="00411191"/>
    <w:rsid w:val="004119BD"/>
    <w:rsid w:val="00411AB5"/>
    <w:rsid w:val="00413325"/>
    <w:rsid w:val="0041364A"/>
    <w:rsid w:val="00413730"/>
    <w:rsid w:val="00414C2E"/>
    <w:rsid w:val="00415B31"/>
    <w:rsid w:val="00420CFB"/>
    <w:rsid w:val="00420FAF"/>
    <w:rsid w:val="00421BCF"/>
    <w:rsid w:val="0042357A"/>
    <w:rsid w:val="00423C5D"/>
    <w:rsid w:val="00424918"/>
    <w:rsid w:val="004309B8"/>
    <w:rsid w:val="004400DE"/>
    <w:rsid w:val="004401FE"/>
    <w:rsid w:val="00442245"/>
    <w:rsid w:val="00443B32"/>
    <w:rsid w:val="00444B79"/>
    <w:rsid w:val="004470B4"/>
    <w:rsid w:val="00447596"/>
    <w:rsid w:val="00452BF3"/>
    <w:rsid w:val="004566A1"/>
    <w:rsid w:val="00456AB4"/>
    <w:rsid w:val="00456B67"/>
    <w:rsid w:val="00460D03"/>
    <w:rsid w:val="00461625"/>
    <w:rsid w:val="00461912"/>
    <w:rsid w:val="004619E9"/>
    <w:rsid w:val="00463192"/>
    <w:rsid w:val="004632E4"/>
    <w:rsid w:val="004638B7"/>
    <w:rsid w:val="00463A9E"/>
    <w:rsid w:val="004664A1"/>
    <w:rsid w:val="0047001B"/>
    <w:rsid w:val="00471009"/>
    <w:rsid w:val="00471E70"/>
    <w:rsid w:val="0047335A"/>
    <w:rsid w:val="00474EEF"/>
    <w:rsid w:val="00476F63"/>
    <w:rsid w:val="00477AEE"/>
    <w:rsid w:val="00481278"/>
    <w:rsid w:val="0048377B"/>
    <w:rsid w:val="004842E7"/>
    <w:rsid w:val="00486C48"/>
    <w:rsid w:val="0048720B"/>
    <w:rsid w:val="0049106E"/>
    <w:rsid w:val="00491F68"/>
    <w:rsid w:val="00492051"/>
    <w:rsid w:val="0049284C"/>
    <w:rsid w:val="00492EEE"/>
    <w:rsid w:val="004934D5"/>
    <w:rsid w:val="004953BC"/>
    <w:rsid w:val="00495EAA"/>
    <w:rsid w:val="004A0449"/>
    <w:rsid w:val="004A0CFD"/>
    <w:rsid w:val="004A1621"/>
    <w:rsid w:val="004A1638"/>
    <w:rsid w:val="004A1E40"/>
    <w:rsid w:val="004A2961"/>
    <w:rsid w:val="004A2F01"/>
    <w:rsid w:val="004A3323"/>
    <w:rsid w:val="004A3B15"/>
    <w:rsid w:val="004A40D6"/>
    <w:rsid w:val="004A487A"/>
    <w:rsid w:val="004A4ED8"/>
    <w:rsid w:val="004A5751"/>
    <w:rsid w:val="004A6F1B"/>
    <w:rsid w:val="004B34A4"/>
    <w:rsid w:val="004B4978"/>
    <w:rsid w:val="004B49ED"/>
    <w:rsid w:val="004B5AD8"/>
    <w:rsid w:val="004B6DE4"/>
    <w:rsid w:val="004B7B9B"/>
    <w:rsid w:val="004C1B4D"/>
    <w:rsid w:val="004C363F"/>
    <w:rsid w:val="004C4317"/>
    <w:rsid w:val="004C4807"/>
    <w:rsid w:val="004C4EAF"/>
    <w:rsid w:val="004C5807"/>
    <w:rsid w:val="004C587C"/>
    <w:rsid w:val="004D17E8"/>
    <w:rsid w:val="004D221C"/>
    <w:rsid w:val="004D241D"/>
    <w:rsid w:val="004D49A0"/>
    <w:rsid w:val="004D5786"/>
    <w:rsid w:val="004D70D8"/>
    <w:rsid w:val="004D74D0"/>
    <w:rsid w:val="004D7938"/>
    <w:rsid w:val="004E0691"/>
    <w:rsid w:val="004E185F"/>
    <w:rsid w:val="004E1DEE"/>
    <w:rsid w:val="004E214E"/>
    <w:rsid w:val="004E2DCE"/>
    <w:rsid w:val="004E3BA6"/>
    <w:rsid w:val="004E3BB8"/>
    <w:rsid w:val="004E5895"/>
    <w:rsid w:val="004E6A28"/>
    <w:rsid w:val="004E7F89"/>
    <w:rsid w:val="004F2CC0"/>
    <w:rsid w:val="004F3755"/>
    <w:rsid w:val="004F3A1A"/>
    <w:rsid w:val="004F4071"/>
    <w:rsid w:val="004F5AF0"/>
    <w:rsid w:val="004F5E5C"/>
    <w:rsid w:val="004F7EFA"/>
    <w:rsid w:val="00500F66"/>
    <w:rsid w:val="005017C6"/>
    <w:rsid w:val="005025B9"/>
    <w:rsid w:val="0050383E"/>
    <w:rsid w:val="005041EE"/>
    <w:rsid w:val="00504211"/>
    <w:rsid w:val="00506510"/>
    <w:rsid w:val="00512574"/>
    <w:rsid w:val="005134FE"/>
    <w:rsid w:val="00513925"/>
    <w:rsid w:val="005146F3"/>
    <w:rsid w:val="00515750"/>
    <w:rsid w:val="00517F36"/>
    <w:rsid w:val="00517F7D"/>
    <w:rsid w:val="00520D2E"/>
    <w:rsid w:val="005227E7"/>
    <w:rsid w:val="00523ED6"/>
    <w:rsid w:val="00526F6A"/>
    <w:rsid w:val="00527E4F"/>
    <w:rsid w:val="00530480"/>
    <w:rsid w:val="0053117F"/>
    <w:rsid w:val="005328ED"/>
    <w:rsid w:val="00532B04"/>
    <w:rsid w:val="005335CB"/>
    <w:rsid w:val="00536AE2"/>
    <w:rsid w:val="005374C3"/>
    <w:rsid w:val="005401AC"/>
    <w:rsid w:val="0054091D"/>
    <w:rsid w:val="00540E0E"/>
    <w:rsid w:val="005419EA"/>
    <w:rsid w:val="005446A5"/>
    <w:rsid w:val="005449F2"/>
    <w:rsid w:val="005453A7"/>
    <w:rsid w:val="00545442"/>
    <w:rsid w:val="005459F1"/>
    <w:rsid w:val="00545AAC"/>
    <w:rsid w:val="0055027C"/>
    <w:rsid w:val="00551D30"/>
    <w:rsid w:val="0055366D"/>
    <w:rsid w:val="00553A82"/>
    <w:rsid w:val="005574D1"/>
    <w:rsid w:val="00560096"/>
    <w:rsid w:val="00560950"/>
    <w:rsid w:val="00561AD1"/>
    <w:rsid w:val="00562825"/>
    <w:rsid w:val="0056464E"/>
    <w:rsid w:val="005654DE"/>
    <w:rsid w:val="005704E2"/>
    <w:rsid w:val="00570B9B"/>
    <w:rsid w:val="00575180"/>
    <w:rsid w:val="005751AC"/>
    <w:rsid w:val="00575EC2"/>
    <w:rsid w:val="0058163C"/>
    <w:rsid w:val="005824E8"/>
    <w:rsid w:val="005825CA"/>
    <w:rsid w:val="00582CD5"/>
    <w:rsid w:val="005846A5"/>
    <w:rsid w:val="005853D7"/>
    <w:rsid w:val="00585636"/>
    <w:rsid w:val="00586ADA"/>
    <w:rsid w:val="00586D58"/>
    <w:rsid w:val="00587B0E"/>
    <w:rsid w:val="005904B1"/>
    <w:rsid w:val="005929F4"/>
    <w:rsid w:val="005961CB"/>
    <w:rsid w:val="00596FD6"/>
    <w:rsid w:val="005A1463"/>
    <w:rsid w:val="005A1B15"/>
    <w:rsid w:val="005A59E6"/>
    <w:rsid w:val="005B2B1D"/>
    <w:rsid w:val="005B4064"/>
    <w:rsid w:val="005B4775"/>
    <w:rsid w:val="005B5981"/>
    <w:rsid w:val="005B5B6C"/>
    <w:rsid w:val="005B7F92"/>
    <w:rsid w:val="005C01AE"/>
    <w:rsid w:val="005C0B11"/>
    <w:rsid w:val="005C0FFB"/>
    <w:rsid w:val="005C193C"/>
    <w:rsid w:val="005C204E"/>
    <w:rsid w:val="005C474C"/>
    <w:rsid w:val="005C6F18"/>
    <w:rsid w:val="005C6F4C"/>
    <w:rsid w:val="005C70E9"/>
    <w:rsid w:val="005C7F5C"/>
    <w:rsid w:val="005D3333"/>
    <w:rsid w:val="005D3EE6"/>
    <w:rsid w:val="005D4668"/>
    <w:rsid w:val="005D4785"/>
    <w:rsid w:val="005D7EEF"/>
    <w:rsid w:val="005E474A"/>
    <w:rsid w:val="005E6F50"/>
    <w:rsid w:val="005F05E3"/>
    <w:rsid w:val="005F1057"/>
    <w:rsid w:val="005F12F8"/>
    <w:rsid w:val="005F1EBC"/>
    <w:rsid w:val="005F35C3"/>
    <w:rsid w:val="005F4F39"/>
    <w:rsid w:val="005F5419"/>
    <w:rsid w:val="005F6E5F"/>
    <w:rsid w:val="00600098"/>
    <w:rsid w:val="006018CC"/>
    <w:rsid w:val="00602DA6"/>
    <w:rsid w:val="00605252"/>
    <w:rsid w:val="00607C8A"/>
    <w:rsid w:val="0061110C"/>
    <w:rsid w:val="00611DBA"/>
    <w:rsid w:val="00613627"/>
    <w:rsid w:val="00614F77"/>
    <w:rsid w:val="00615D2B"/>
    <w:rsid w:val="00616218"/>
    <w:rsid w:val="006169E2"/>
    <w:rsid w:val="00616E70"/>
    <w:rsid w:val="006206D3"/>
    <w:rsid w:val="006213A9"/>
    <w:rsid w:val="00621606"/>
    <w:rsid w:val="0062283E"/>
    <w:rsid w:val="00624148"/>
    <w:rsid w:val="006247A8"/>
    <w:rsid w:val="00626A6D"/>
    <w:rsid w:val="00626C01"/>
    <w:rsid w:val="00627391"/>
    <w:rsid w:val="00627428"/>
    <w:rsid w:val="006275E7"/>
    <w:rsid w:val="00632F95"/>
    <w:rsid w:val="00634EB3"/>
    <w:rsid w:val="00641A84"/>
    <w:rsid w:val="00642AB8"/>
    <w:rsid w:val="00643EC8"/>
    <w:rsid w:val="00644765"/>
    <w:rsid w:val="00644ED4"/>
    <w:rsid w:val="00645603"/>
    <w:rsid w:val="006459F0"/>
    <w:rsid w:val="006504E9"/>
    <w:rsid w:val="0065067B"/>
    <w:rsid w:val="00651D99"/>
    <w:rsid w:val="00655A04"/>
    <w:rsid w:val="00655E02"/>
    <w:rsid w:val="00660D91"/>
    <w:rsid w:val="00661CB6"/>
    <w:rsid w:val="006637EC"/>
    <w:rsid w:val="00664199"/>
    <w:rsid w:val="00664314"/>
    <w:rsid w:val="00665141"/>
    <w:rsid w:val="0066738E"/>
    <w:rsid w:val="00667BC2"/>
    <w:rsid w:val="00672F26"/>
    <w:rsid w:val="00673E33"/>
    <w:rsid w:val="00674792"/>
    <w:rsid w:val="00675073"/>
    <w:rsid w:val="006756BC"/>
    <w:rsid w:val="0067620F"/>
    <w:rsid w:val="00676FDB"/>
    <w:rsid w:val="006773EA"/>
    <w:rsid w:val="00680E2F"/>
    <w:rsid w:val="00681021"/>
    <w:rsid w:val="00681816"/>
    <w:rsid w:val="0068235E"/>
    <w:rsid w:val="00683A78"/>
    <w:rsid w:val="00683E5D"/>
    <w:rsid w:val="00684BDB"/>
    <w:rsid w:val="006900DD"/>
    <w:rsid w:val="00693C18"/>
    <w:rsid w:val="006953E1"/>
    <w:rsid w:val="00696EDE"/>
    <w:rsid w:val="00697317"/>
    <w:rsid w:val="006977D7"/>
    <w:rsid w:val="006A029E"/>
    <w:rsid w:val="006A0F1D"/>
    <w:rsid w:val="006A1438"/>
    <w:rsid w:val="006A2622"/>
    <w:rsid w:val="006A663D"/>
    <w:rsid w:val="006B013C"/>
    <w:rsid w:val="006B04C0"/>
    <w:rsid w:val="006B0DC8"/>
    <w:rsid w:val="006B17BA"/>
    <w:rsid w:val="006B22B8"/>
    <w:rsid w:val="006B4E74"/>
    <w:rsid w:val="006B52C9"/>
    <w:rsid w:val="006B56B2"/>
    <w:rsid w:val="006C084D"/>
    <w:rsid w:val="006C1449"/>
    <w:rsid w:val="006C3108"/>
    <w:rsid w:val="006C6E82"/>
    <w:rsid w:val="006C792B"/>
    <w:rsid w:val="006D01FD"/>
    <w:rsid w:val="006D0957"/>
    <w:rsid w:val="006D1D04"/>
    <w:rsid w:val="006D1DE9"/>
    <w:rsid w:val="006D1EEC"/>
    <w:rsid w:val="006D1FEB"/>
    <w:rsid w:val="006D28A5"/>
    <w:rsid w:val="006D5475"/>
    <w:rsid w:val="006D595D"/>
    <w:rsid w:val="006D5DB3"/>
    <w:rsid w:val="006D75D7"/>
    <w:rsid w:val="006E04B8"/>
    <w:rsid w:val="006F08C9"/>
    <w:rsid w:val="006F41D9"/>
    <w:rsid w:val="006F63E3"/>
    <w:rsid w:val="00701280"/>
    <w:rsid w:val="00703B68"/>
    <w:rsid w:val="00706A0B"/>
    <w:rsid w:val="0070716A"/>
    <w:rsid w:val="007072CF"/>
    <w:rsid w:val="00707F91"/>
    <w:rsid w:val="007117CE"/>
    <w:rsid w:val="007137C9"/>
    <w:rsid w:val="007149A1"/>
    <w:rsid w:val="00714EE4"/>
    <w:rsid w:val="00714FC1"/>
    <w:rsid w:val="00715EDF"/>
    <w:rsid w:val="00716F2C"/>
    <w:rsid w:val="00717A94"/>
    <w:rsid w:val="007212A5"/>
    <w:rsid w:val="00722609"/>
    <w:rsid w:val="00724138"/>
    <w:rsid w:val="00727300"/>
    <w:rsid w:val="0073028F"/>
    <w:rsid w:val="00731469"/>
    <w:rsid w:val="00731F2A"/>
    <w:rsid w:val="00733CF9"/>
    <w:rsid w:val="007408C6"/>
    <w:rsid w:val="00740D62"/>
    <w:rsid w:val="00740DCE"/>
    <w:rsid w:val="0074215C"/>
    <w:rsid w:val="007421F3"/>
    <w:rsid w:val="0074390E"/>
    <w:rsid w:val="00753745"/>
    <w:rsid w:val="00756520"/>
    <w:rsid w:val="00756A0A"/>
    <w:rsid w:val="00757FA2"/>
    <w:rsid w:val="0076025C"/>
    <w:rsid w:val="007644A2"/>
    <w:rsid w:val="00765FAE"/>
    <w:rsid w:val="00766904"/>
    <w:rsid w:val="00771425"/>
    <w:rsid w:val="00772098"/>
    <w:rsid w:val="007726C1"/>
    <w:rsid w:val="00773214"/>
    <w:rsid w:val="00773FB8"/>
    <w:rsid w:val="00774686"/>
    <w:rsid w:val="00775CF7"/>
    <w:rsid w:val="007766BE"/>
    <w:rsid w:val="007776BC"/>
    <w:rsid w:val="0077770D"/>
    <w:rsid w:val="00780A64"/>
    <w:rsid w:val="00781BA6"/>
    <w:rsid w:val="00781C8D"/>
    <w:rsid w:val="00782202"/>
    <w:rsid w:val="00783E0A"/>
    <w:rsid w:val="00785E2B"/>
    <w:rsid w:val="0078645F"/>
    <w:rsid w:val="00787275"/>
    <w:rsid w:val="00787F78"/>
    <w:rsid w:val="007915FB"/>
    <w:rsid w:val="0079183B"/>
    <w:rsid w:val="0079213A"/>
    <w:rsid w:val="007932A0"/>
    <w:rsid w:val="0079343C"/>
    <w:rsid w:val="00793950"/>
    <w:rsid w:val="00794A81"/>
    <w:rsid w:val="00795D37"/>
    <w:rsid w:val="00796D7D"/>
    <w:rsid w:val="007972D1"/>
    <w:rsid w:val="007A0D9B"/>
    <w:rsid w:val="007A0FCD"/>
    <w:rsid w:val="007A2C0E"/>
    <w:rsid w:val="007A3CDE"/>
    <w:rsid w:val="007A4084"/>
    <w:rsid w:val="007A436F"/>
    <w:rsid w:val="007A648B"/>
    <w:rsid w:val="007A67F4"/>
    <w:rsid w:val="007B27D8"/>
    <w:rsid w:val="007B3273"/>
    <w:rsid w:val="007B423F"/>
    <w:rsid w:val="007B58F1"/>
    <w:rsid w:val="007B6F7C"/>
    <w:rsid w:val="007B771D"/>
    <w:rsid w:val="007C03D9"/>
    <w:rsid w:val="007C18F4"/>
    <w:rsid w:val="007C1ABD"/>
    <w:rsid w:val="007C1FAC"/>
    <w:rsid w:val="007C2BCA"/>
    <w:rsid w:val="007C2CFC"/>
    <w:rsid w:val="007C46F9"/>
    <w:rsid w:val="007C496E"/>
    <w:rsid w:val="007C59C7"/>
    <w:rsid w:val="007C623C"/>
    <w:rsid w:val="007C6284"/>
    <w:rsid w:val="007C62D5"/>
    <w:rsid w:val="007D7D77"/>
    <w:rsid w:val="007E2065"/>
    <w:rsid w:val="007E27A3"/>
    <w:rsid w:val="007E4666"/>
    <w:rsid w:val="007E680F"/>
    <w:rsid w:val="007F0014"/>
    <w:rsid w:val="007F060A"/>
    <w:rsid w:val="007F0F85"/>
    <w:rsid w:val="007F2858"/>
    <w:rsid w:val="007F308B"/>
    <w:rsid w:val="007F32D9"/>
    <w:rsid w:val="007F3E09"/>
    <w:rsid w:val="007F493C"/>
    <w:rsid w:val="007F6E4A"/>
    <w:rsid w:val="007F71A5"/>
    <w:rsid w:val="007F7236"/>
    <w:rsid w:val="00800E97"/>
    <w:rsid w:val="00800EC9"/>
    <w:rsid w:val="0080608C"/>
    <w:rsid w:val="00812AF2"/>
    <w:rsid w:val="00813480"/>
    <w:rsid w:val="0081349E"/>
    <w:rsid w:val="00813E3E"/>
    <w:rsid w:val="00820D12"/>
    <w:rsid w:val="00822DC1"/>
    <w:rsid w:val="00823087"/>
    <w:rsid w:val="008233E2"/>
    <w:rsid w:val="0082539D"/>
    <w:rsid w:val="008265FF"/>
    <w:rsid w:val="00827AFF"/>
    <w:rsid w:val="00833719"/>
    <w:rsid w:val="00834C47"/>
    <w:rsid w:val="0083616C"/>
    <w:rsid w:val="00841663"/>
    <w:rsid w:val="00842C1E"/>
    <w:rsid w:val="008437BB"/>
    <w:rsid w:val="0084390F"/>
    <w:rsid w:val="00844E2F"/>
    <w:rsid w:val="00845057"/>
    <w:rsid w:val="008458B8"/>
    <w:rsid w:val="00846AF1"/>
    <w:rsid w:val="00846C5F"/>
    <w:rsid w:val="00847981"/>
    <w:rsid w:val="00847C3F"/>
    <w:rsid w:val="00851314"/>
    <w:rsid w:val="0085273B"/>
    <w:rsid w:val="0085356E"/>
    <w:rsid w:val="008536DC"/>
    <w:rsid w:val="008559BB"/>
    <w:rsid w:val="008608D3"/>
    <w:rsid w:val="0086152C"/>
    <w:rsid w:val="00861643"/>
    <w:rsid w:val="00862423"/>
    <w:rsid w:val="00865937"/>
    <w:rsid w:val="008661A9"/>
    <w:rsid w:val="008663B5"/>
    <w:rsid w:val="008665FF"/>
    <w:rsid w:val="0087182C"/>
    <w:rsid w:val="00872530"/>
    <w:rsid w:val="008734D4"/>
    <w:rsid w:val="00875004"/>
    <w:rsid w:val="008765FA"/>
    <w:rsid w:val="008777CE"/>
    <w:rsid w:val="00877B7C"/>
    <w:rsid w:val="00877DE0"/>
    <w:rsid w:val="00880611"/>
    <w:rsid w:val="008808C4"/>
    <w:rsid w:val="008831D6"/>
    <w:rsid w:val="008832F8"/>
    <w:rsid w:val="00884A4D"/>
    <w:rsid w:val="00885395"/>
    <w:rsid w:val="00885D1B"/>
    <w:rsid w:val="008871F3"/>
    <w:rsid w:val="008872BD"/>
    <w:rsid w:val="00891980"/>
    <w:rsid w:val="00891A0E"/>
    <w:rsid w:val="00892A7F"/>
    <w:rsid w:val="00893AD2"/>
    <w:rsid w:val="008960B6"/>
    <w:rsid w:val="0089748A"/>
    <w:rsid w:val="008A07F4"/>
    <w:rsid w:val="008A1409"/>
    <w:rsid w:val="008A419A"/>
    <w:rsid w:val="008A5647"/>
    <w:rsid w:val="008A5C78"/>
    <w:rsid w:val="008B0A94"/>
    <w:rsid w:val="008B15F4"/>
    <w:rsid w:val="008B6755"/>
    <w:rsid w:val="008C07CD"/>
    <w:rsid w:val="008C1946"/>
    <w:rsid w:val="008C1976"/>
    <w:rsid w:val="008C19F0"/>
    <w:rsid w:val="008C2807"/>
    <w:rsid w:val="008C42F0"/>
    <w:rsid w:val="008C6D44"/>
    <w:rsid w:val="008C78FA"/>
    <w:rsid w:val="008D06EB"/>
    <w:rsid w:val="008D082E"/>
    <w:rsid w:val="008D115B"/>
    <w:rsid w:val="008D182C"/>
    <w:rsid w:val="008D2456"/>
    <w:rsid w:val="008D33A8"/>
    <w:rsid w:val="008D3BA9"/>
    <w:rsid w:val="008D3D39"/>
    <w:rsid w:val="008D4F97"/>
    <w:rsid w:val="008D6260"/>
    <w:rsid w:val="008D6572"/>
    <w:rsid w:val="008D7DED"/>
    <w:rsid w:val="008E0592"/>
    <w:rsid w:val="008E05BD"/>
    <w:rsid w:val="008E1156"/>
    <w:rsid w:val="008E1BA9"/>
    <w:rsid w:val="008E1C9F"/>
    <w:rsid w:val="008E2195"/>
    <w:rsid w:val="008E22E7"/>
    <w:rsid w:val="008E42E0"/>
    <w:rsid w:val="008E5D1E"/>
    <w:rsid w:val="008E60C6"/>
    <w:rsid w:val="008E69BE"/>
    <w:rsid w:val="008E72C3"/>
    <w:rsid w:val="008E7DC0"/>
    <w:rsid w:val="008F0A31"/>
    <w:rsid w:val="008F1939"/>
    <w:rsid w:val="008F3102"/>
    <w:rsid w:val="008F31D7"/>
    <w:rsid w:val="008F4E7B"/>
    <w:rsid w:val="008F69E4"/>
    <w:rsid w:val="008F6FAA"/>
    <w:rsid w:val="008F7907"/>
    <w:rsid w:val="008F791A"/>
    <w:rsid w:val="00900429"/>
    <w:rsid w:val="009019AA"/>
    <w:rsid w:val="00904EA7"/>
    <w:rsid w:val="00905B7D"/>
    <w:rsid w:val="0090683E"/>
    <w:rsid w:val="009100CA"/>
    <w:rsid w:val="00910C89"/>
    <w:rsid w:val="009139E9"/>
    <w:rsid w:val="00913AEE"/>
    <w:rsid w:val="009142E5"/>
    <w:rsid w:val="00915175"/>
    <w:rsid w:val="009177BD"/>
    <w:rsid w:val="00921068"/>
    <w:rsid w:val="00921F92"/>
    <w:rsid w:val="009230B0"/>
    <w:rsid w:val="00923D4F"/>
    <w:rsid w:val="00924115"/>
    <w:rsid w:val="009261DE"/>
    <w:rsid w:val="00926816"/>
    <w:rsid w:val="00926A28"/>
    <w:rsid w:val="00926F5F"/>
    <w:rsid w:val="00927663"/>
    <w:rsid w:val="00931A49"/>
    <w:rsid w:val="0093291B"/>
    <w:rsid w:val="009340C1"/>
    <w:rsid w:val="00934476"/>
    <w:rsid w:val="00940804"/>
    <w:rsid w:val="009434B8"/>
    <w:rsid w:val="009437A5"/>
    <w:rsid w:val="00946BEB"/>
    <w:rsid w:val="009471B2"/>
    <w:rsid w:val="00947BE9"/>
    <w:rsid w:val="00952A84"/>
    <w:rsid w:val="009543BB"/>
    <w:rsid w:val="00964512"/>
    <w:rsid w:val="00966F06"/>
    <w:rsid w:val="009676A9"/>
    <w:rsid w:val="00971349"/>
    <w:rsid w:val="0097351E"/>
    <w:rsid w:val="0097448B"/>
    <w:rsid w:val="009802D2"/>
    <w:rsid w:val="00980BC1"/>
    <w:rsid w:val="00981E77"/>
    <w:rsid w:val="0098328E"/>
    <w:rsid w:val="00983F9D"/>
    <w:rsid w:val="009844D2"/>
    <w:rsid w:val="00986A01"/>
    <w:rsid w:val="00987188"/>
    <w:rsid w:val="00990DBD"/>
    <w:rsid w:val="00991ABD"/>
    <w:rsid w:val="009932F8"/>
    <w:rsid w:val="00993922"/>
    <w:rsid w:val="009945B2"/>
    <w:rsid w:val="0099488C"/>
    <w:rsid w:val="00996954"/>
    <w:rsid w:val="009A0370"/>
    <w:rsid w:val="009A0CAE"/>
    <w:rsid w:val="009A102D"/>
    <w:rsid w:val="009A2A2F"/>
    <w:rsid w:val="009A493C"/>
    <w:rsid w:val="009A4B1C"/>
    <w:rsid w:val="009A4E06"/>
    <w:rsid w:val="009A61A0"/>
    <w:rsid w:val="009A668D"/>
    <w:rsid w:val="009B06FE"/>
    <w:rsid w:val="009B1383"/>
    <w:rsid w:val="009B27DE"/>
    <w:rsid w:val="009B528E"/>
    <w:rsid w:val="009C0706"/>
    <w:rsid w:val="009C4A4E"/>
    <w:rsid w:val="009C4E3C"/>
    <w:rsid w:val="009C547B"/>
    <w:rsid w:val="009C5BA7"/>
    <w:rsid w:val="009C66CA"/>
    <w:rsid w:val="009C7E3B"/>
    <w:rsid w:val="009D02B7"/>
    <w:rsid w:val="009D113F"/>
    <w:rsid w:val="009D39E5"/>
    <w:rsid w:val="009D3DFB"/>
    <w:rsid w:val="009D4C70"/>
    <w:rsid w:val="009D7170"/>
    <w:rsid w:val="009D79C9"/>
    <w:rsid w:val="009E28F6"/>
    <w:rsid w:val="009E2BB2"/>
    <w:rsid w:val="009E3A65"/>
    <w:rsid w:val="009E4578"/>
    <w:rsid w:val="009E4C41"/>
    <w:rsid w:val="009E70AB"/>
    <w:rsid w:val="009E762F"/>
    <w:rsid w:val="009E7F52"/>
    <w:rsid w:val="009F0B49"/>
    <w:rsid w:val="009F141A"/>
    <w:rsid w:val="009F1470"/>
    <w:rsid w:val="009F20E0"/>
    <w:rsid w:val="009F2A5A"/>
    <w:rsid w:val="009F2DEA"/>
    <w:rsid w:val="009F4130"/>
    <w:rsid w:val="009F4256"/>
    <w:rsid w:val="009F79FE"/>
    <w:rsid w:val="00A00684"/>
    <w:rsid w:val="00A00913"/>
    <w:rsid w:val="00A00E12"/>
    <w:rsid w:val="00A01498"/>
    <w:rsid w:val="00A026BD"/>
    <w:rsid w:val="00A02F6E"/>
    <w:rsid w:val="00A0323E"/>
    <w:rsid w:val="00A0673A"/>
    <w:rsid w:val="00A069F8"/>
    <w:rsid w:val="00A123FC"/>
    <w:rsid w:val="00A128B8"/>
    <w:rsid w:val="00A12DDF"/>
    <w:rsid w:val="00A13165"/>
    <w:rsid w:val="00A131C2"/>
    <w:rsid w:val="00A1436E"/>
    <w:rsid w:val="00A14E00"/>
    <w:rsid w:val="00A154FC"/>
    <w:rsid w:val="00A15A2E"/>
    <w:rsid w:val="00A1782D"/>
    <w:rsid w:val="00A202C5"/>
    <w:rsid w:val="00A213E7"/>
    <w:rsid w:val="00A21B6B"/>
    <w:rsid w:val="00A2284F"/>
    <w:rsid w:val="00A22CE7"/>
    <w:rsid w:val="00A247D3"/>
    <w:rsid w:val="00A26640"/>
    <w:rsid w:val="00A26641"/>
    <w:rsid w:val="00A322CC"/>
    <w:rsid w:val="00A32688"/>
    <w:rsid w:val="00A32AAF"/>
    <w:rsid w:val="00A32B73"/>
    <w:rsid w:val="00A3318F"/>
    <w:rsid w:val="00A34FFC"/>
    <w:rsid w:val="00A36ABB"/>
    <w:rsid w:val="00A37A73"/>
    <w:rsid w:val="00A40405"/>
    <w:rsid w:val="00A423B5"/>
    <w:rsid w:val="00A43406"/>
    <w:rsid w:val="00A44D23"/>
    <w:rsid w:val="00A4516F"/>
    <w:rsid w:val="00A465C3"/>
    <w:rsid w:val="00A46882"/>
    <w:rsid w:val="00A5387F"/>
    <w:rsid w:val="00A540D0"/>
    <w:rsid w:val="00A542DD"/>
    <w:rsid w:val="00A552E9"/>
    <w:rsid w:val="00A556C6"/>
    <w:rsid w:val="00A55CAD"/>
    <w:rsid w:val="00A5714C"/>
    <w:rsid w:val="00A6080A"/>
    <w:rsid w:val="00A60AD2"/>
    <w:rsid w:val="00A61112"/>
    <w:rsid w:val="00A6504B"/>
    <w:rsid w:val="00A6547B"/>
    <w:rsid w:val="00A65C65"/>
    <w:rsid w:val="00A67179"/>
    <w:rsid w:val="00A714F1"/>
    <w:rsid w:val="00A7315D"/>
    <w:rsid w:val="00A826BD"/>
    <w:rsid w:val="00A921D2"/>
    <w:rsid w:val="00A93029"/>
    <w:rsid w:val="00A946B1"/>
    <w:rsid w:val="00A94CDE"/>
    <w:rsid w:val="00A9678A"/>
    <w:rsid w:val="00A97ADF"/>
    <w:rsid w:val="00AA10AD"/>
    <w:rsid w:val="00AA1458"/>
    <w:rsid w:val="00AA2C66"/>
    <w:rsid w:val="00AA6D2E"/>
    <w:rsid w:val="00AA722A"/>
    <w:rsid w:val="00AB2E98"/>
    <w:rsid w:val="00AB3893"/>
    <w:rsid w:val="00AB77D6"/>
    <w:rsid w:val="00AC0124"/>
    <w:rsid w:val="00AC0863"/>
    <w:rsid w:val="00AC0E80"/>
    <w:rsid w:val="00AC4E50"/>
    <w:rsid w:val="00AC7B7B"/>
    <w:rsid w:val="00AD1BFE"/>
    <w:rsid w:val="00AD2179"/>
    <w:rsid w:val="00AD2A2A"/>
    <w:rsid w:val="00AD3DE0"/>
    <w:rsid w:val="00AD4B03"/>
    <w:rsid w:val="00AD56E8"/>
    <w:rsid w:val="00AD63D7"/>
    <w:rsid w:val="00AD6E37"/>
    <w:rsid w:val="00AE0749"/>
    <w:rsid w:val="00AE3442"/>
    <w:rsid w:val="00AE3CCF"/>
    <w:rsid w:val="00AE3DBA"/>
    <w:rsid w:val="00AE56FB"/>
    <w:rsid w:val="00AE5B20"/>
    <w:rsid w:val="00AE6CB6"/>
    <w:rsid w:val="00AF0550"/>
    <w:rsid w:val="00AF19B5"/>
    <w:rsid w:val="00AF1B2E"/>
    <w:rsid w:val="00AF241E"/>
    <w:rsid w:val="00AF3029"/>
    <w:rsid w:val="00AF40E6"/>
    <w:rsid w:val="00AF60B9"/>
    <w:rsid w:val="00AF7342"/>
    <w:rsid w:val="00AF7A9C"/>
    <w:rsid w:val="00AF7D3A"/>
    <w:rsid w:val="00B00C24"/>
    <w:rsid w:val="00B02C85"/>
    <w:rsid w:val="00B04834"/>
    <w:rsid w:val="00B1098F"/>
    <w:rsid w:val="00B10CC0"/>
    <w:rsid w:val="00B111CF"/>
    <w:rsid w:val="00B11768"/>
    <w:rsid w:val="00B12AE9"/>
    <w:rsid w:val="00B14D5A"/>
    <w:rsid w:val="00B16471"/>
    <w:rsid w:val="00B1723C"/>
    <w:rsid w:val="00B17838"/>
    <w:rsid w:val="00B2019E"/>
    <w:rsid w:val="00B213D8"/>
    <w:rsid w:val="00B23F12"/>
    <w:rsid w:val="00B255E3"/>
    <w:rsid w:val="00B304A2"/>
    <w:rsid w:val="00B30FB9"/>
    <w:rsid w:val="00B339FF"/>
    <w:rsid w:val="00B33E0E"/>
    <w:rsid w:val="00B34CB6"/>
    <w:rsid w:val="00B35589"/>
    <w:rsid w:val="00B35E64"/>
    <w:rsid w:val="00B3614B"/>
    <w:rsid w:val="00B36F8E"/>
    <w:rsid w:val="00B373F6"/>
    <w:rsid w:val="00B42191"/>
    <w:rsid w:val="00B439EF"/>
    <w:rsid w:val="00B44224"/>
    <w:rsid w:val="00B44DC4"/>
    <w:rsid w:val="00B46337"/>
    <w:rsid w:val="00B528E3"/>
    <w:rsid w:val="00B52BA7"/>
    <w:rsid w:val="00B555D2"/>
    <w:rsid w:val="00B556AF"/>
    <w:rsid w:val="00B57A67"/>
    <w:rsid w:val="00B61907"/>
    <w:rsid w:val="00B61F80"/>
    <w:rsid w:val="00B6310E"/>
    <w:rsid w:val="00B636C3"/>
    <w:rsid w:val="00B63ED5"/>
    <w:rsid w:val="00B64598"/>
    <w:rsid w:val="00B656A3"/>
    <w:rsid w:val="00B6738F"/>
    <w:rsid w:val="00B704D2"/>
    <w:rsid w:val="00B70900"/>
    <w:rsid w:val="00B70D51"/>
    <w:rsid w:val="00B71D15"/>
    <w:rsid w:val="00B7241E"/>
    <w:rsid w:val="00B729C5"/>
    <w:rsid w:val="00B72C07"/>
    <w:rsid w:val="00B72E06"/>
    <w:rsid w:val="00B7376D"/>
    <w:rsid w:val="00B74560"/>
    <w:rsid w:val="00B74697"/>
    <w:rsid w:val="00B80BB2"/>
    <w:rsid w:val="00B85A77"/>
    <w:rsid w:val="00B86583"/>
    <w:rsid w:val="00B872A5"/>
    <w:rsid w:val="00B8740D"/>
    <w:rsid w:val="00B87AFA"/>
    <w:rsid w:val="00B922ED"/>
    <w:rsid w:val="00B93B18"/>
    <w:rsid w:val="00B96FBB"/>
    <w:rsid w:val="00B97B83"/>
    <w:rsid w:val="00B97EE5"/>
    <w:rsid w:val="00BA0B27"/>
    <w:rsid w:val="00BA1727"/>
    <w:rsid w:val="00BA1C6D"/>
    <w:rsid w:val="00BB067B"/>
    <w:rsid w:val="00BB135D"/>
    <w:rsid w:val="00BB3AD7"/>
    <w:rsid w:val="00BB5A05"/>
    <w:rsid w:val="00BB68BF"/>
    <w:rsid w:val="00BC2B81"/>
    <w:rsid w:val="00BC3F8C"/>
    <w:rsid w:val="00BC4976"/>
    <w:rsid w:val="00BC7F8A"/>
    <w:rsid w:val="00BD01BB"/>
    <w:rsid w:val="00BD104C"/>
    <w:rsid w:val="00BD1989"/>
    <w:rsid w:val="00BD1AAA"/>
    <w:rsid w:val="00BD1DC1"/>
    <w:rsid w:val="00BD1FB9"/>
    <w:rsid w:val="00BD3D54"/>
    <w:rsid w:val="00BD43B7"/>
    <w:rsid w:val="00BD4D65"/>
    <w:rsid w:val="00BD5C8C"/>
    <w:rsid w:val="00BE101C"/>
    <w:rsid w:val="00BE1E87"/>
    <w:rsid w:val="00BE3F4B"/>
    <w:rsid w:val="00BE6628"/>
    <w:rsid w:val="00BE7349"/>
    <w:rsid w:val="00BE7EA7"/>
    <w:rsid w:val="00BF44D3"/>
    <w:rsid w:val="00BF53F4"/>
    <w:rsid w:val="00BF62DC"/>
    <w:rsid w:val="00BF6594"/>
    <w:rsid w:val="00BF70F1"/>
    <w:rsid w:val="00BF7947"/>
    <w:rsid w:val="00C00701"/>
    <w:rsid w:val="00C00D15"/>
    <w:rsid w:val="00C01BA7"/>
    <w:rsid w:val="00C03DC2"/>
    <w:rsid w:val="00C055AA"/>
    <w:rsid w:val="00C0662A"/>
    <w:rsid w:val="00C07E1D"/>
    <w:rsid w:val="00C15203"/>
    <w:rsid w:val="00C15AB0"/>
    <w:rsid w:val="00C178A9"/>
    <w:rsid w:val="00C202CC"/>
    <w:rsid w:val="00C20340"/>
    <w:rsid w:val="00C20479"/>
    <w:rsid w:val="00C20F97"/>
    <w:rsid w:val="00C2520B"/>
    <w:rsid w:val="00C2665B"/>
    <w:rsid w:val="00C26944"/>
    <w:rsid w:val="00C26EF5"/>
    <w:rsid w:val="00C30353"/>
    <w:rsid w:val="00C3037C"/>
    <w:rsid w:val="00C312BD"/>
    <w:rsid w:val="00C3225D"/>
    <w:rsid w:val="00C32E17"/>
    <w:rsid w:val="00C343B8"/>
    <w:rsid w:val="00C35DC8"/>
    <w:rsid w:val="00C35F0D"/>
    <w:rsid w:val="00C372CE"/>
    <w:rsid w:val="00C41F1A"/>
    <w:rsid w:val="00C44D0F"/>
    <w:rsid w:val="00C46821"/>
    <w:rsid w:val="00C50D97"/>
    <w:rsid w:val="00C52F2B"/>
    <w:rsid w:val="00C535B4"/>
    <w:rsid w:val="00C61DD8"/>
    <w:rsid w:val="00C61E63"/>
    <w:rsid w:val="00C61ED3"/>
    <w:rsid w:val="00C624BB"/>
    <w:rsid w:val="00C63777"/>
    <w:rsid w:val="00C63C72"/>
    <w:rsid w:val="00C63E44"/>
    <w:rsid w:val="00C648D0"/>
    <w:rsid w:val="00C6492A"/>
    <w:rsid w:val="00C675CF"/>
    <w:rsid w:val="00C67D15"/>
    <w:rsid w:val="00C742CC"/>
    <w:rsid w:val="00C74AB5"/>
    <w:rsid w:val="00C74D4D"/>
    <w:rsid w:val="00C75694"/>
    <w:rsid w:val="00C75D07"/>
    <w:rsid w:val="00C7625B"/>
    <w:rsid w:val="00C81E6B"/>
    <w:rsid w:val="00C84545"/>
    <w:rsid w:val="00C84977"/>
    <w:rsid w:val="00C863E9"/>
    <w:rsid w:val="00C86F5A"/>
    <w:rsid w:val="00C9002E"/>
    <w:rsid w:val="00C9031E"/>
    <w:rsid w:val="00C91128"/>
    <w:rsid w:val="00C9177B"/>
    <w:rsid w:val="00C93CE2"/>
    <w:rsid w:val="00C954C6"/>
    <w:rsid w:val="00C9686F"/>
    <w:rsid w:val="00C973D6"/>
    <w:rsid w:val="00CA0001"/>
    <w:rsid w:val="00CA0281"/>
    <w:rsid w:val="00CA0F9C"/>
    <w:rsid w:val="00CA41CC"/>
    <w:rsid w:val="00CA4E08"/>
    <w:rsid w:val="00CA5D1D"/>
    <w:rsid w:val="00CA6947"/>
    <w:rsid w:val="00CA6AF5"/>
    <w:rsid w:val="00CB0195"/>
    <w:rsid w:val="00CB1747"/>
    <w:rsid w:val="00CB28CA"/>
    <w:rsid w:val="00CB2972"/>
    <w:rsid w:val="00CB3615"/>
    <w:rsid w:val="00CB43B5"/>
    <w:rsid w:val="00CB52DF"/>
    <w:rsid w:val="00CB52FB"/>
    <w:rsid w:val="00CB538A"/>
    <w:rsid w:val="00CB7322"/>
    <w:rsid w:val="00CB7BF0"/>
    <w:rsid w:val="00CC0C1E"/>
    <w:rsid w:val="00CC18E6"/>
    <w:rsid w:val="00CC19DA"/>
    <w:rsid w:val="00CC679D"/>
    <w:rsid w:val="00CC78A8"/>
    <w:rsid w:val="00CD0A28"/>
    <w:rsid w:val="00CD33FD"/>
    <w:rsid w:val="00CD41D3"/>
    <w:rsid w:val="00CD5592"/>
    <w:rsid w:val="00CD5621"/>
    <w:rsid w:val="00CD73C6"/>
    <w:rsid w:val="00CE0B5C"/>
    <w:rsid w:val="00CE1438"/>
    <w:rsid w:val="00CE1A54"/>
    <w:rsid w:val="00CE2FFA"/>
    <w:rsid w:val="00CE32D5"/>
    <w:rsid w:val="00CE3D88"/>
    <w:rsid w:val="00CE4135"/>
    <w:rsid w:val="00CE5418"/>
    <w:rsid w:val="00CE56D6"/>
    <w:rsid w:val="00CE58CC"/>
    <w:rsid w:val="00CF0EB1"/>
    <w:rsid w:val="00CF2312"/>
    <w:rsid w:val="00CF263F"/>
    <w:rsid w:val="00CF3619"/>
    <w:rsid w:val="00CF3E0D"/>
    <w:rsid w:val="00CF6D57"/>
    <w:rsid w:val="00CF7132"/>
    <w:rsid w:val="00D02D72"/>
    <w:rsid w:val="00D02DC6"/>
    <w:rsid w:val="00D0324C"/>
    <w:rsid w:val="00D03836"/>
    <w:rsid w:val="00D05DD6"/>
    <w:rsid w:val="00D10EFD"/>
    <w:rsid w:val="00D1299C"/>
    <w:rsid w:val="00D12F0A"/>
    <w:rsid w:val="00D14145"/>
    <w:rsid w:val="00D14E80"/>
    <w:rsid w:val="00D15CD2"/>
    <w:rsid w:val="00D1695A"/>
    <w:rsid w:val="00D200DE"/>
    <w:rsid w:val="00D211A8"/>
    <w:rsid w:val="00D2488F"/>
    <w:rsid w:val="00D256E6"/>
    <w:rsid w:val="00D2579F"/>
    <w:rsid w:val="00D25870"/>
    <w:rsid w:val="00D25D7D"/>
    <w:rsid w:val="00D263D9"/>
    <w:rsid w:val="00D2673A"/>
    <w:rsid w:val="00D2714D"/>
    <w:rsid w:val="00D27638"/>
    <w:rsid w:val="00D27A98"/>
    <w:rsid w:val="00D33CFB"/>
    <w:rsid w:val="00D340BA"/>
    <w:rsid w:val="00D3734C"/>
    <w:rsid w:val="00D37F5A"/>
    <w:rsid w:val="00D412F3"/>
    <w:rsid w:val="00D41FD9"/>
    <w:rsid w:val="00D46ECB"/>
    <w:rsid w:val="00D5253D"/>
    <w:rsid w:val="00D526BD"/>
    <w:rsid w:val="00D52E69"/>
    <w:rsid w:val="00D53CC9"/>
    <w:rsid w:val="00D54925"/>
    <w:rsid w:val="00D56E7C"/>
    <w:rsid w:val="00D57601"/>
    <w:rsid w:val="00D618FB"/>
    <w:rsid w:val="00D62909"/>
    <w:rsid w:val="00D63288"/>
    <w:rsid w:val="00D6400A"/>
    <w:rsid w:val="00D6435C"/>
    <w:rsid w:val="00D6438C"/>
    <w:rsid w:val="00D6552A"/>
    <w:rsid w:val="00D66A17"/>
    <w:rsid w:val="00D6733D"/>
    <w:rsid w:val="00D70754"/>
    <w:rsid w:val="00D71572"/>
    <w:rsid w:val="00D7157E"/>
    <w:rsid w:val="00D716A4"/>
    <w:rsid w:val="00D72709"/>
    <w:rsid w:val="00D729D3"/>
    <w:rsid w:val="00D74EBB"/>
    <w:rsid w:val="00D75400"/>
    <w:rsid w:val="00D757B3"/>
    <w:rsid w:val="00D75E94"/>
    <w:rsid w:val="00D76017"/>
    <w:rsid w:val="00D779C9"/>
    <w:rsid w:val="00D77DE0"/>
    <w:rsid w:val="00D80500"/>
    <w:rsid w:val="00D82B3B"/>
    <w:rsid w:val="00D82C3D"/>
    <w:rsid w:val="00D86AAB"/>
    <w:rsid w:val="00D90CBD"/>
    <w:rsid w:val="00D91C21"/>
    <w:rsid w:val="00D9272B"/>
    <w:rsid w:val="00D93EC6"/>
    <w:rsid w:val="00D94A48"/>
    <w:rsid w:val="00DA1238"/>
    <w:rsid w:val="00DA1AEE"/>
    <w:rsid w:val="00DA30B8"/>
    <w:rsid w:val="00DA3D16"/>
    <w:rsid w:val="00DA45F7"/>
    <w:rsid w:val="00DA5994"/>
    <w:rsid w:val="00DB0B90"/>
    <w:rsid w:val="00DB655B"/>
    <w:rsid w:val="00DC04F4"/>
    <w:rsid w:val="00DC12D5"/>
    <w:rsid w:val="00DC2203"/>
    <w:rsid w:val="00DC244E"/>
    <w:rsid w:val="00DC2AEF"/>
    <w:rsid w:val="00DC46C6"/>
    <w:rsid w:val="00DC4A2A"/>
    <w:rsid w:val="00DC5539"/>
    <w:rsid w:val="00DC56BA"/>
    <w:rsid w:val="00DC7BCF"/>
    <w:rsid w:val="00DD1A6C"/>
    <w:rsid w:val="00DD2EFE"/>
    <w:rsid w:val="00DD50E1"/>
    <w:rsid w:val="00DE0931"/>
    <w:rsid w:val="00DE14CF"/>
    <w:rsid w:val="00DE2BCF"/>
    <w:rsid w:val="00DE4D5B"/>
    <w:rsid w:val="00DE5E1C"/>
    <w:rsid w:val="00DF01BD"/>
    <w:rsid w:val="00DF026A"/>
    <w:rsid w:val="00DF1286"/>
    <w:rsid w:val="00DF1A10"/>
    <w:rsid w:val="00DF1D39"/>
    <w:rsid w:val="00DF1EE8"/>
    <w:rsid w:val="00DF20A3"/>
    <w:rsid w:val="00DF3DC8"/>
    <w:rsid w:val="00DF5BAC"/>
    <w:rsid w:val="00E00BC9"/>
    <w:rsid w:val="00E01AF4"/>
    <w:rsid w:val="00E02B84"/>
    <w:rsid w:val="00E033A5"/>
    <w:rsid w:val="00E038DF"/>
    <w:rsid w:val="00E0438F"/>
    <w:rsid w:val="00E051FF"/>
    <w:rsid w:val="00E139E6"/>
    <w:rsid w:val="00E1495E"/>
    <w:rsid w:val="00E16780"/>
    <w:rsid w:val="00E168CB"/>
    <w:rsid w:val="00E24EDA"/>
    <w:rsid w:val="00E25583"/>
    <w:rsid w:val="00E25EC4"/>
    <w:rsid w:val="00E31934"/>
    <w:rsid w:val="00E32ACF"/>
    <w:rsid w:val="00E347E4"/>
    <w:rsid w:val="00E363F7"/>
    <w:rsid w:val="00E40CEC"/>
    <w:rsid w:val="00E42B2F"/>
    <w:rsid w:val="00E442A5"/>
    <w:rsid w:val="00E447BC"/>
    <w:rsid w:val="00E44A32"/>
    <w:rsid w:val="00E46265"/>
    <w:rsid w:val="00E5023F"/>
    <w:rsid w:val="00E50DEB"/>
    <w:rsid w:val="00E526BF"/>
    <w:rsid w:val="00E52705"/>
    <w:rsid w:val="00E52CD9"/>
    <w:rsid w:val="00E55DE8"/>
    <w:rsid w:val="00E56EDB"/>
    <w:rsid w:val="00E60095"/>
    <w:rsid w:val="00E61671"/>
    <w:rsid w:val="00E61E15"/>
    <w:rsid w:val="00E62FAE"/>
    <w:rsid w:val="00E6355C"/>
    <w:rsid w:val="00E63F04"/>
    <w:rsid w:val="00E649FF"/>
    <w:rsid w:val="00E65DC1"/>
    <w:rsid w:val="00E676E7"/>
    <w:rsid w:val="00E6781E"/>
    <w:rsid w:val="00E70AE9"/>
    <w:rsid w:val="00E7273D"/>
    <w:rsid w:val="00E7276B"/>
    <w:rsid w:val="00E72B7E"/>
    <w:rsid w:val="00E73D16"/>
    <w:rsid w:val="00E7474D"/>
    <w:rsid w:val="00E74B6C"/>
    <w:rsid w:val="00E76F45"/>
    <w:rsid w:val="00E804AA"/>
    <w:rsid w:val="00E8066D"/>
    <w:rsid w:val="00E83440"/>
    <w:rsid w:val="00E838E9"/>
    <w:rsid w:val="00E83F4E"/>
    <w:rsid w:val="00E860D0"/>
    <w:rsid w:val="00E9325C"/>
    <w:rsid w:val="00E93FB9"/>
    <w:rsid w:val="00E93FC1"/>
    <w:rsid w:val="00E9541D"/>
    <w:rsid w:val="00E95DE6"/>
    <w:rsid w:val="00EA015E"/>
    <w:rsid w:val="00EA1F52"/>
    <w:rsid w:val="00EA3DFA"/>
    <w:rsid w:val="00EA4AB2"/>
    <w:rsid w:val="00EA65A0"/>
    <w:rsid w:val="00EA6DF1"/>
    <w:rsid w:val="00EA7A63"/>
    <w:rsid w:val="00EB0048"/>
    <w:rsid w:val="00EB008E"/>
    <w:rsid w:val="00EB0941"/>
    <w:rsid w:val="00EB2E0A"/>
    <w:rsid w:val="00EB3007"/>
    <w:rsid w:val="00EB55BD"/>
    <w:rsid w:val="00EB6378"/>
    <w:rsid w:val="00EB72D4"/>
    <w:rsid w:val="00EC0294"/>
    <w:rsid w:val="00EC39B5"/>
    <w:rsid w:val="00EC43A1"/>
    <w:rsid w:val="00EC6F1D"/>
    <w:rsid w:val="00ED1E48"/>
    <w:rsid w:val="00ED31AE"/>
    <w:rsid w:val="00ED3B35"/>
    <w:rsid w:val="00ED4A3E"/>
    <w:rsid w:val="00ED4E09"/>
    <w:rsid w:val="00ED6506"/>
    <w:rsid w:val="00ED6773"/>
    <w:rsid w:val="00ED688E"/>
    <w:rsid w:val="00ED7E81"/>
    <w:rsid w:val="00EE02C4"/>
    <w:rsid w:val="00EE030C"/>
    <w:rsid w:val="00EE1E5F"/>
    <w:rsid w:val="00EE3E6C"/>
    <w:rsid w:val="00EF1EFA"/>
    <w:rsid w:val="00EF24CE"/>
    <w:rsid w:val="00EF2DB5"/>
    <w:rsid w:val="00EF3FCF"/>
    <w:rsid w:val="00EF5D5A"/>
    <w:rsid w:val="00EF7C77"/>
    <w:rsid w:val="00F00A34"/>
    <w:rsid w:val="00F02B4F"/>
    <w:rsid w:val="00F02C99"/>
    <w:rsid w:val="00F04FF6"/>
    <w:rsid w:val="00F05266"/>
    <w:rsid w:val="00F07C8D"/>
    <w:rsid w:val="00F10233"/>
    <w:rsid w:val="00F118EB"/>
    <w:rsid w:val="00F12199"/>
    <w:rsid w:val="00F12720"/>
    <w:rsid w:val="00F1421E"/>
    <w:rsid w:val="00F174FA"/>
    <w:rsid w:val="00F20040"/>
    <w:rsid w:val="00F201A0"/>
    <w:rsid w:val="00F233F6"/>
    <w:rsid w:val="00F23B65"/>
    <w:rsid w:val="00F24C44"/>
    <w:rsid w:val="00F251E1"/>
    <w:rsid w:val="00F27CD5"/>
    <w:rsid w:val="00F32A0A"/>
    <w:rsid w:val="00F3301E"/>
    <w:rsid w:val="00F3541C"/>
    <w:rsid w:val="00F3636A"/>
    <w:rsid w:val="00F376D8"/>
    <w:rsid w:val="00F40187"/>
    <w:rsid w:val="00F4019E"/>
    <w:rsid w:val="00F4094B"/>
    <w:rsid w:val="00F42621"/>
    <w:rsid w:val="00F432FC"/>
    <w:rsid w:val="00F444F1"/>
    <w:rsid w:val="00F45612"/>
    <w:rsid w:val="00F457A1"/>
    <w:rsid w:val="00F4734B"/>
    <w:rsid w:val="00F5014B"/>
    <w:rsid w:val="00F502EB"/>
    <w:rsid w:val="00F51FFB"/>
    <w:rsid w:val="00F52DFF"/>
    <w:rsid w:val="00F52EAB"/>
    <w:rsid w:val="00F55745"/>
    <w:rsid w:val="00F55C93"/>
    <w:rsid w:val="00F560DB"/>
    <w:rsid w:val="00F568F2"/>
    <w:rsid w:val="00F611B7"/>
    <w:rsid w:val="00F66CDB"/>
    <w:rsid w:val="00F70703"/>
    <w:rsid w:val="00F707BE"/>
    <w:rsid w:val="00F73971"/>
    <w:rsid w:val="00F772C7"/>
    <w:rsid w:val="00F8068A"/>
    <w:rsid w:val="00F80A0C"/>
    <w:rsid w:val="00F80D57"/>
    <w:rsid w:val="00F81F5E"/>
    <w:rsid w:val="00F842BA"/>
    <w:rsid w:val="00F84699"/>
    <w:rsid w:val="00F84FD5"/>
    <w:rsid w:val="00F853B9"/>
    <w:rsid w:val="00F85EDB"/>
    <w:rsid w:val="00F86939"/>
    <w:rsid w:val="00F92300"/>
    <w:rsid w:val="00F9252D"/>
    <w:rsid w:val="00F93BFE"/>
    <w:rsid w:val="00F94D9F"/>
    <w:rsid w:val="00F964B9"/>
    <w:rsid w:val="00F97112"/>
    <w:rsid w:val="00F97C3D"/>
    <w:rsid w:val="00FA0B1C"/>
    <w:rsid w:val="00FA1770"/>
    <w:rsid w:val="00FA2335"/>
    <w:rsid w:val="00FA4070"/>
    <w:rsid w:val="00FA4DF6"/>
    <w:rsid w:val="00FA57A6"/>
    <w:rsid w:val="00FA6D3A"/>
    <w:rsid w:val="00FA75D5"/>
    <w:rsid w:val="00FA795A"/>
    <w:rsid w:val="00FB32F7"/>
    <w:rsid w:val="00FB382F"/>
    <w:rsid w:val="00FB3973"/>
    <w:rsid w:val="00FB456D"/>
    <w:rsid w:val="00FB5EDC"/>
    <w:rsid w:val="00FB7320"/>
    <w:rsid w:val="00FC1241"/>
    <w:rsid w:val="00FC4866"/>
    <w:rsid w:val="00FC7329"/>
    <w:rsid w:val="00FC7688"/>
    <w:rsid w:val="00FC7BC9"/>
    <w:rsid w:val="00FC7D2D"/>
    <w:rsid w:val="00FD0B55"/>
    <w:rsid w:val="00FD3562"/>
    <w:rsid w:val="00FD4601"/>
    <w:rsid w:val="00FD5190"/>
    <w:rsid w:val="00FD5887"/>
    <w:rsid w:val="00FD5FFC"/>
    <w:rsid w:val="00FD6394"/>
    <w:rsid w:val="00FD6429"/>
    <w:rsid w:val="00FD6BBC"/>
    <w:rsid w:val="00FE0450"/>
    <w:rsid w:val="00FE075E"/>
    <w:rsid w:val="00FE1241"/>
    <w:rsid w:val="00FE68A6"/>
    <w:rsid w:val="00FE7458"/>
    <w:rsid w:val="00FF204C"/>
    <w:rsid w:val="00FF2C07"/>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79561A51"/>
  <w15:chartTrackingRefBased/>
  <w15:docId w15:val="{9281C576-C2DD-4995-9B1D-847132B3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ro-RO"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link w:val="FooterChar"/>
    <w:uiPriority w:val="99"/>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FooterChar">
    <w:name w:val="Footer Char"/>
    <w:link w:val="Footer"/>
    <w:uiPriority w:val="99"/>
    <w:rsid w:val="00333DB7"/>
    <w:rPr>
      <w:lang w:val="fr-FR" w:eastAsia="fr-FR"/>
    </w:rPr>
  </w:style>
  <w:style w:type="character" w:customStyle="1" w:styleId="BodyText2Char">
    <w:name w:val="Body Text 2 Char"/>
    <w:link w:val="BodyText2"/>
    <w:rsid w:val="00492EEE"/>
    <w:rPr>
      <w:lang w:val="fr-FR" w:eastAsia="fr-FR"/>
    </w:rPr>
  </w:style>
  <w:style w:type="paragraph" w:styleId="ListParagraph">
    <w:name w:val="List Paragraph"/>
    <w:basedOn w:val="Normal"/>
    <w:uiPriority w:val="34"/>
    <w:qFormat/>
    <w:rsid w:val="00F45612"/>
    <w:pPr>
      <w:autoSpaceDE/>
      <w:autoSpaceDN/>
      <w:spacing w:after="160" w:line="259" w:lineRule="auto"/>
      <w:ind w:left="720"/>
      <w:contextualSpacing/>
    </w:pPr>
    <w:rPr>
      <w:rFonts w:ascii="Calibri" w:eastAsia="Calibri" w:hAnsi="Calibri"/>
      <w:sz w:val="22"/>
      <w:szCs w:val="22"/>
      <w:lang w:val="en-US" w:eastAsia="en-US"/>
    </w:rPr>
  </w:style>
  <w:style w:type="character" w:styleId="LineNumber">
    <w:name w:val="line number"/>
    <w:rsid w:val="00BB067B"/>
  </w:style>
  <w:style w:type="paragraph" w:styleId="Revision">
    <w:name w:val="Revision"/>
    <w:hidden/>
    <w:uiPriority w:val="99"/>
    <w:semiHidden/>
    <w:rsid w:val="007117CE"/>
    <w:rPr>
      <w:lang w:val="ro-RO"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474953489">
      <w:bodyDiv w:val="1"/>
      <w:marLeft w:val="0"/>
      <w:marRight w:val="0"/>
      <w:marTop w:val="0"/>
      <w:marBottom w:val="0"/>
      <w:divBdr>
        <w:top w:val="none" w:sz="0" w:space="0" w:color="auto"/>
        <w:left w:val="none" w:sz="0" w:space="0" w:color="auto"/>
        <w:bottom w:val="none" w:sz="0" w:space="0" w:color="auto"/>
        <w:right w:val="none" w:sz="0" w:space="0" w:color="auto"/>
      </w:divBdr>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14780606">
      <w:bodyDiv w:val="1"/>
      <w:marLeft w:val="0"/>
      <w:marRight w:val="0"/>
      <w:marTop w:val="0"/>
      <w:marBottom w:val="0"/>
      <w:divBdr>
        <w:top w:val="none" w:sz="0" w:space="0" w:color="auto"/>
        <w:left w:val="none" w:sz="0" w:space="0" w:color="auto"/>
        <w:bottom w:val="none" w:sz="0" w:space="0" w:color="auto"/>
        <w:right w:val="none" w:sz="0" w:space="0" w:color="auto"/>
      </w:divBdr>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140076840">
      <w:bodyDiv w:val="1"/>
      <w:marLeft w:val="0"/>
      <w:marRight w:val="0"/>
      <w:marTop w:val="0"/>
      <w:marBottom w:val="0"/>
      <w:divBdr>
        <w:top w:val="none" w:sz="0" w:space="0" w:color="auto"/>
        <w:left w:val="none" w:sz="0" w:space="0" w:color="auto"/>
        <w:bottom w:val="none" w:sz="0" w:space="0" w:color="auto"/>
        <w:right w:val="none" w:sz="0" w:space="0" w:color="auto"/>
      </w:divBdr>
    </w:div>
    <w:div w:id="1310741998">
      <w:bodyDiv w:val="1"/>
      <w:marLeft w:val="0"/>
      <w:marRight w:val="0"/>
      <w:marTop w:val="0"/>
      <w:marBottom w:val="0"/>
      <w:divBdr>
        <w:top w:val="none" w:sz="0" w:space="0" w:color="auto"/>
        <w:left w:val="none" w:sz="0" w:space="0" w:color="auto"/>
        <w:bottom w:val="none" w:sz="0" w:space="0" w:color="auto"/>
        <w:right w:val="none" w:sz="0" w:space="0" w:color="auto"/>
      </w:divBdr>
    </w:div>
    <w:div w:id="1380547937">
      <w:bodyDiv w:val="1"/>
      <w:marLeft w:val="0"/>
      <w:marRight w:val="0"/>
      <w:marTop w:val="0"/>
      <w:marBottom w:val="0"/>
      <w:divBdr>
        <w:top w:val="none" w:sz="0" w:space="0" w:color="auto"/>
        <w:left w:val="none" w:sz="0" w:space="0" w:color="auto"/>
        <w:bottom w:val="none" w:sz="0" w:space="0" w:color="auto"/>
        <w:right w:val="none" w:sz="0" w:space="0" w:color="auto"/>
      </w:divBdr>
    </w:div>
    <w:div w:id="1549685789">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docsroom/documents/40361" TargetMode="External"/><Relationship Id="rId4" Type="http://schemas.openxmlformats.org/officeDocument/2006/relationships/settings" Target="settings.xml"/><Relationship Id="rId9" Type="http://schemas.openxmlformats.org/officeDocument/2006/relationships/hyperlink" Target="http://www.ancom.ro/reglementari-interfete_2723"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52D8-CB7F-4C39-B2F1-C4C30187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889</Words>
  <Characters>6079</Characters>
  <Application>Microsoft Office Word</Application>
  <DocSecurity>0</DocSecurity>
  <Lines>319</Lines>
  <Paragraphs>133</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6835</CharactersWithSpaces>
  <SharedDoc>false</SharedDoc>
  <HLinks>
    <vt:vector size="6" baseType="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5</cp:revision>
  <cp:lastPrinted>2018-07-25T12:30:00Z</cp:lastPrinted>
  <dcterms:created xsi:type="dcterms:W3CDTF">2026-02-03T10:21:00Z</dcterms:created>
  <dcterms:modified xsi:type="dcterms:W3CDTF">2026-02-03T10:23:00Z</dcterms:modified>
</cp:coreProperties>
</file>